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8624" w14:textId="106AB693" w:rsidR="00054907" w:rsidRPr="008B56F8" w:rsidRDefault="00D809B4" w:rsidP="00AA787A">
      <w:pPr>
        <w:jc w:val="both"/>
        <w:rPr>
          <w:rFonts w:ascii="Palatino Linotype" w:hAnsi="Palatino Linotype"/>
          <w:b/>
          <w:bCs/>
          <w:sz w:val="24"/>
          <w:szCs w:val="24"/>
        </w:rPr>
      </w:pPr>
      <w:r w:rsidRPr="008B56F8">
        <w:rPr>
          <w:rFonts w:ascii="Palatino Linotype" w:eastAsia="Times New Roman" w:hAnsi="Palatino Linotype" w:cs="Times New Roman"/>
          <w:b/>
          <w:bCs/>
          <w:sz w:val="24"/>
          <w:szCs w:val="24"/>
          <w:lang w:eastAsia="en-GB"/>
        </w:rPr>
        <w:t xml:space="preserve">Vacancy: </w:t>
      </w:r>
      <w:r w:rsidR="00054907" w:rsidRPr="008B56F8">
        <w:rPr>
          <w:rFonts w:ascii="Palatino Linotype" w:hAnsi="Palatino Linotype"/>
          <w:b/>
          <w:bCs/>
          <w:sz w:val="24"/>
          <w:szCs w:val="24"/>
        </w:rPr>
        <w:t xml:space="preserve">Deputy Chair of the Appeals Tribunal, </w:t>
      </w:r>
      <w:r w:rsidR="00054907" w:rsidRPr="008B56F8">
        <w:rPr>
          <w:rFonts w:ascii="Palatino Linotype" w:hAnsi="Palatino Linotype" w:cs="Arial"/>
          <w:b/>
          <w:bCs/>
          <w:sz w:val="24"/>
          <w:szCs w:val="24"/>
          <w:shd w:val="clear" w:color="auto" w:fill="FFFFFF"/>
        </w:rPr>
        <w:t>the Institute and Faculty of </w:t>
      </w:r>
      <w:r w:rsidR="00054907" w:rsidRPr="008B56F8">
        <w:rPr>
          <w:rStyle w:val="Emphasis"/>
          <w:rFonts w:ascii="Palatino Linotype" w:hAnsi="Palatino Linotype" w:cs="Arial"/>
          <w:b/>
          <w:bCs/>
          <w:i w:val="0"/>
          <w:iCs w:val="0"/>
          <w:sz w:val="24"/>
          <w:szCs w:val="24"/>
          <w:shd w:val="clear" w:color="auto" w:fill="FFFFFF"/>
        </w:rPr>
        <w:t>Actuaries</w:t>
      </w:r>
      <w:r w:rsidR="00054907" w:rsidRPr="008B56F8">
        <w:rPr>
          <w:rFonts w:ascii="Palatino Linotype" w:hAnsi="Palatino Linotype" w:cs="Arial"/>
          <w:b/>
          <w:bCs/>
          <w:sz w:val="24"/>
          <w:szCs w:val="24"/>
          <w:shd w:val="clear" w:color="auto" w:fill="FFFFFF"/>
        </w:rPr>
        <w:t> (IFoA)</w:t>
      </w:r>
    </w:p>
    <w:p w14:paraId="5FB0891D" w14:textId="77777777" w:rsidR="00AA787A" w:rsidRPr="008B56F8" w:rsidRDefault="00AA787A" w:rsidP="00AA787A">
      <w:pPr>
        <w:shd w:val="clear" w:color="auto" w:fill="FFFFFF"/>
        <w:spacing w:after="300" w:line="240" w:lineRule="auto"/>
        <w:jc w:val="both"/>
        <w:rPr>
          <w:rFonts w:ascii="Palatino Linotype" w:eastAsia="Times New Roman" w:hAnsi="Palatino Linotype" w:cs="Times New Roman"/>
          <w:b/>
          <w:bCs/>
          <w:color w:val="000000"/>
          <w:sz w:val="24"/>
          <w:szCs w:val="24"/>
          <w:lang w:eastAsia="en-GB"/>
        </w:rPr>
      </w:pPr>
    </w:p>
    <w:p w14:paraId="721567C7" w14:textId="1A0C29E9" w:rsidR="00D809B4" w:rsidRPr="008B56F8" w:rsidRDefault="00D809B4" w:rsidP="00AA787A">
      <w:pPr>
        <w:shd w:val="clear" w:color="auto" w:fill="FFFFFF"/>
        <w:spacing w:after="300" w:line="240" w:lineRule="auto"/>
        <w:jc w:val="both"/>
        <w:rPr>
          <w:rFonts w:ascii="Palatino Linotype" w:eastAsia="Times New Roman" w:hAnsi="Palatino Linotype" w:cs="Times New Roman"/>
          <w:color w:val="000000"/>
          <w:sz w:val="24"/>
          <w:szCs w:val="24"/>
          <w:lang w:eastAsia="en-GB"/>
        </w:rPr>
      </w:pPr>
      <w:r w:rsidRPr="008B56F8">
        <w:rPr>
          <w:rFonts w:ascii="Palatino Linotype" w:eastAsia="Times New Roman" w:hAnsi="Palatino Linotype" w:cs="Times New Roman"/>
          <w:b/>
          <w:bCs/>
          <w:color w:val="000000"/>
          <w:sz w:val="24"/>
          <w:szCs w:val="24"/>
          <w:lang w:eastAsia="en-GB"/>
        </w:rPr>
        <w:t>TERM: 3-year term, with a possibility of a further 3-year term</w:t>
      </w:r>
    </w:p>
    <w:p w14:paraId="3A3B30AF" w14:textId="1B1ACCFB" w:rsidR="00D809B4" w:rsidRPr="008B56F8" w:rsidRDefault="00D809B4" w:rsidP="00AA787A">
      <w:pPr>
        <w:shd w:val="clear" w:color="auto" w:fill="FFFFFF"/>
        <w:spacing w:after="300" w:line="240" w:lineRule="auto"/>
        <w:jc w:val="both"/>
        <w:rPr>
          <w:rFonts w:ascii="Palatino Linotype" w:eastAsia="Times New Roman" w:hAnsi="Palatino Linotype" w:cs="Times New Roman"/>
          <w:color w:val="000000"/>
          <w:sz w:val="24"/>
          <w:szCs w:val="24"/>
          <w:lang w:eastAsia="en-GB"/>
        </w:rPr>
      </w:pPr>
      <w:r w:rsidRPr="008B56F8">
        <w:rPr>
          <w:rFonts w:ascii="Palatino Linotype" w:eastAsia="Times New Roman" w:hAnsi="Palatino Linotype" w:cs="Times New Roman"/>
          <w:color w:val="000000"/>
          <w:sz w:val="24"/>
          <w:szCs w:val="24"/>
          <w:lang w:eastAsia="en-GB"/>
        </w:rPr>
        <w:t xml:space="preserve">The Chair of the Bar, on behalf of the Bar Council, is looking to recruit a </w:t>
      </w:r>
      <w:r w:rsidR="00CE6F07">
        <w:rPr>
          <w:rFonts w:ascii="Palatino Linotype" w:eastAsia="Times New Roman" w:hAnsi="Palatino Linotype" w:cs="Times New Roman"/>
          <w:color w:val="000000"/>
          <w:sz w:val="24"/>
          <w:szCs w:val="24"/>
          <w:lang w:eastAsia="en-GB"/>
        </w:rPr>
        <w:t xml:space="preserve">Queen’s Counsel </w:t>
      </w:r>
      <w:r w:rsidRPr="008B56F8">
        <w:rPr>
          <w:rFonts w:ascii="Palatino Linotype" w:eastAsia="Times New Roman" w:hAnsi="Palatino Linotype" w:cs="Times New Roman"/>
          <w:color w:val="000000"/>
          <w:sz w:val="24"/>
          <w:szCs w:val="24"/>
          <w:lang w:eastAsia="en-GB"/>
        </w:rPr>
        <w:t xml:space="preserve">representative for the </w:t>
      </w:r>
      <w:r w:rsidR="00420A5C" w:rsidRPr="008B56F8">
        <w:rPr>
          <w:rFonts w:ascii="Palatino Linotype" w:eastAsia="Times New Roman" w:hAnsi="Palatino Linotype" w:cs="Times New Roman"/>
          <w:color w:val="000000"/>
          <w:sz w:val="24"/>
          <w:szCs w:val="24"/>
          <w:lang w:eastAsia="en-GB"/>
        </w:rPr>
        <w:t>role of Deputy Chair of the Appeals Tribunal</w:t>
      </w:r>
      <w:r w:rsidR="006D121B" w:rsidRPr="008B56F8">
        <w:rPr>
          <w:rFonts w:ascii="Palatino Linotype" w:eastAsia="Times New Roman" w:hAnsi="Palatino Linotype" w:cs="Times New Roman"/>
          <w:color w:val="000000"/>
          <w:sz w:val="24"/>
          <w:szCs w:val="24"/>
          <w:lang w:eastAsia="en-GB"/>
        </w:rPr>
        <w:t>.</w:t>
      </w:r>
    </w:p>
    <w:p w14:paraId="53BBD2C8" w14:textId="1DF3043C" w:rsidR="0039161C" w:rsidRPr="008B56F8" w:rsidRDefault="00D809B4" w:rsidP="00AA787A">
      <w:pPr>
        <w:shd w:val="clear" w:color="auto" w:fill="FFFFFF"/>
        <w:spacing w:after="300" w:line="240" w:lineRule="auto"/>
        <w:jc w:val="both"/>
        <w:rPr>
          <w:rFonts w:ascii="Palatino Linotype" w:hAnsi="Palatino Linotype"/>
          <w:b/>
          <w:bCs/>
          <w:sz w:val="24"/>
          <w:szCs w:val="24"/>
        </w:rPr>
      </w:pPr>
      <w:r w:rsidRPr="008B56F8">
        <w:rPr>
          <w:rFonts w:ascii="Palatino Linotype" w:eastAsia="Times New Roman" w:hAnsi="Palatino Linotype" w:cs="Times New Roman"/>
          <w:b/>
          <w:bCs/>
          <w:color w:val="000000"/>
          <w:sz w:val="24"/>
          <w:szCs w:val="24"/>
          <w:lang w:eastAsia="en-GB"/>
        </w:rPr>
        <w:t xml:space="preserve">About </w:t>
      </w:r>
      <w:r w:rsidR="00054907" w:rsidRPr="008B56F8">
        <w:rPr>
          <w:rFonts w:ascii="Palatino Linotype" w:hAnsi="Palatino Linotype"/>
          <w:b/>
          <w:bCs/>
          <w:sz w:val="24"/>
          <w:szCs w:val="24"/>
        </w:rPr>
        <w:t xml:space="preserve">the </w:t>
      </w:r>
      <w:r w:rsidR="00AA787A" w:rsidRPr="008B56F8">
        <w:rPr>
          <w:rFonts w:ascii="Palatino Linotype" w:hAnsi="Palatino Linotype"/>
          <w:b/>
          <w:bCs/>
          <w:sz w:val="24"/>
          <w:szCs w:val="24"/>
        </w:rPr>
        <w:t>IFoA</w:t>
      </w:r>
    </w:p>
    <w:p w14:paraId="6C650167" w14:textId="3C43C7EA" w:rsidR="00AA787A" w:rsidRPr="008B56F8" w:rsidRDefault="00AA787A" w:rsidP="00AA787A">
      <w:pPr>
        <w:spacing w:after="0" w:line="375" w:lineRule="atLeast"/>
        <w:jc w:val="both"/>
        <w:rPr>
          <w:rFonts w:ascii="Palatino Linotype" w:eastAsia="Times New Roman" w:hAnsi="Palatino Linotype" w:cs="Arial"/>
          <w:sz w:val="24"/>
          <w:szCs w:val="24"/>
          <w:lang w:eastAsia="en-GB"/>
        </w:rPr>
      </w:pPr>
      <w:r w:rsidRPr="00AA787A">
        <w:rPr>
          <w:rFonts w:ascii="Palatino Linotype" w:eastAsia="Times New Roman" w:hAnsi="Palatino Linotype" w:cs="Arial"/>
          <w:sz w:val="24"/>
          <w:szCs w:val="24"/>
          <w:lang w:eastAsia="en-GB"/>
        </w:rPr>
        <w:t xml:space="preserve">The Institute and Faculty of Actuaries (IFoA) is the UK's only chartered professional body dedicated to educating, </w:t>
      </w:r>
      <w:r w:rsidR="00F31848" w:rsidRPr="008B56F8">
        <w:rPr>
          <w:rFonts w:ascii="Palatino Linotype" w:eastAsia="Times New Roman" w:hAnsi="Palatino Linotype" w:cs="Arial"/>
          <w:sz w:val="24"/>
          <w:szCs w:val="24"/>
          <w:lang w:eastAsia="en-GB"/>
        </w:rPr>
        <w:t>developing,</w:t>
      </w:r>
      <w:r w:rsidRPr="00AA787A">
        <w:rPr>
          <w:rFonts w:ascii="Palatino Linotype" w:eastAsia="Times New Roman" w:hAnsi="Palatino Linotype" w:cs="Arial"/>
          <w:sz w:val="24"/>
          <w:szCs w:val="24"/>
          <w:lang w:eastAsia="en-GB"/>
        </w:rPr>
        <w:t xml:space="preserve"> and regulating actuaries based both in the UK and internationally.</w:t>
      </w:r>
    </w:p>
    <w:p w14:paraId="4A5E2DB4" w14:textId="77777777" w:rsidR="00AA787A" w:rsidRPr="00AA787A" w:rsidRDefault="00AA787A" w:rsidP="00AA787A">
      <w:pPr>
        <w:spacing w:after="0" w:line="375" w:lineRule="atLeast"/>
        <w:jc w:val="both"/>
        <w:rPr>
          <w:rFonts w:ascii="Palatino Linotype" w:eastAsia="Times New Roman" w:hAnsi="Palatino Linotype" w:cs="Arial"/>
          <w:sz w:val="24"/>
          <w:szCs w:val="24"/>
          <w:lang w:eastAsia="en-GB"/>
        </w:rPr>
      </w:pPr>
    </w:p>
    <w:p w14:paraId="79F3B457" w14:textId="457EC253" w:rsidR="00AA787A" w:rsidRPr="00AA787A" w:rsidRDefault="00AA787A" w:rsidP="00AA787A">
      <w:pPr>
        <w:shd w:val="clear" w:color="auto" w:fill="FFFFFF"/>
        <w:spacing w:line="300" w:lineRule="atLeast"/>
        <w:jc w:val="both"/>
        <w:rPr>
          <w:rFonts w:ascii="Palatino Linotype" w:eastAsia="Times New Roman" w:hAnsi="Palatino Linotype" w:cs="Arial"/>
          <w:sz w:val="24"/>
          <w:szCs w:val="24"/>
          <w:lang w:eastAsia="en-GB"/>
        </w:rPr>
      </w:pPr>
      <w:r w:rsidRPr="00AA787A">
        <w:rPr>
          <w:rFonts w:ascii="Palatino Linotype" w:eastAsia="Times New Roman" w:hAnsi="Palatino Linotype" w:cs="Arial"/>
          <w:sz w:val="24"/>
          <w:szCs w:val="24"/>
          <w:lang w:eastAsia="en-GB"/>
        </w:rPr>
        <w:t xml:space="preserve">The IFoA regulates and represents over 30,000 members worldwide, overseeing their actuarial education at all stages of qualification and development throughout their careers. We set examinations, continuing professional development, professional </w:t>
      </w:r>
      <w:r w:rsidR="00F31848" w:rsidRPr="008B56F8">
        <w:rPr>
          <w:rFonts w:ascii="Palatino Linotype" w:eastAsia="Times New Roman" w:hAnsi="Palatino Linotype" w:cs="Arial"/>
          <w:sz w:val="24"/>
          <w:szCs w:val="24"/>
          <w:lang w:eastAsia="en-GB"/>
        </w:rPr>
        <w:t>codes,</w:t>
      </w:r>
      <w:r w:rsidRPr="00AA787A">
        <w:rPr>
          <w:rFonts w:ascii="Palatino Linotype" w:eastAsia="Times New Roman" w:hAnsi="Palatino Linotype" w:cs="Arial"/>
          <w:sz w:val="24"/>
          <w:szCs w:val="24"/>
          <w:lang w:eastAsia="en-GB"/>
        </w:rPr>
        <w:t xml:space="preserve"> and disciplinary standards for our members.</w:t>
      </w:r>
    </w:p>
    <w:p w14:paraId="0EF62DBE" w14:textId="575A670D" w:rsidR="00AA787A" w:rsidRPr="008B56F8" w:rsidRDefault="00AA787A" w:rsidP="00F31848">
      <w:pPr>
        <w:shd w:val="clear" w:color="auto" w:fill="FFFFFF"/>
        <w:spacing w:after="300" w:line="240" w:lineRule="auto"/>
        <w:rPr>
          <w:rFonts w:ascii="Palatino Linotype" w:hAnsi="Palatino Linotype"/>
          <w:sz w:val="24"/>
          <w:szCs w:val="24"/>
        </w:rPr>
      </w:pPr>
      <w:r w:rsidRPr="008B56F8">
        <w:rPr>
          <w:rFonts w:ascii="Palatino Linotype" w:hAnsi="Palatino Linotype"/>
          <w:sz w:val="24"/>
          <w:szCs w:val="24"/>
        </w:rPr>
        <w:t>More information about the IFoA can be found here:</w:t>
      </w:r>
      <w:r w:rsidR="00F31848" w:rsidRPr="008B56F8">
        <w:rPr>
          <w:rFonts w:ascii="Palatino Linotype" w:hAnsi="Palatino Linotype"/>
          <w:sz w:val="24"/>
          <w:szCs w:val="24"/>
        </w:rPr>
        <w:t xml:space="preserve"> </w:t>
      </w:r>
      <w:r w:rsidRPr="008B56F8">
        <w:rPr>
          <w:rFonts w:ascii="Palatino Linotype" w:hAnsi="Palatino Linotype"/>
          <w:b/>
          <w:bCs/>
          <w:sz w:val="24"/>
          <w:szCs w:val="24"/>
        </w:rPr>
        <w:t xml:space="preserve"> </w:t>
      </w:r>
      <w:hyperlink r:id="rId5" w:history="1">
        <w:r w:rsidR="00D53833" w:rsidRPr="008B56F8">
          <w:rPr>
            <w:rStyle w:val="Hyperlink"/>
            <w:rFonts w:ascii="Palatino Linotype" w:hAnsi="Palatino Linotype"/>
            <w:b/>
            <w:bCs/>
            <w:sz w:val="24"/>
            <w:szCs w:val="24"/>
          </w:rPr>
          <w:t>https://www.actuaries.org.uk/about-us</w:t>
        </w:r>
      </w:hyperlink>
    </w:p>
    <w:p w14:paraId="620F41F5" w14:textId="51CF4F6B" w:rsidR="00D53833" w:rsidRPr="008B56F8" w:rsidRDefault="00D53833" w:rsidP="00AA787A">
      <w:pPr>
        <w:shd w:val="clear" w:color="auto" w:fill="FFFFFF"/>
        <w:spacing w:after="300" w:line="240" w:lineRule="auto"/>
        <w:jc w:val="both"/>
        <w:rPr>
          <w:rFonts w:ascii="Palatino Linotype" w:hAnsi="Palatino Linotype"/>
          <w:b/>
          <w:bCs/>
          <w:sz w:val="24"/>
          <w:szCs w:val="24"/>
        </w:rPr>
      </w:pPr>
      <w:r w:rsidRPr="008B56F8">
        <w:rPr>
          <w:rFonts w:ascii="Palatino Linotype" w:hAnsi="Palatino Linotype"/>
          <w:b/>
          <w:bCs/>
          <w:sz w:val="24"/>
          <w:szCs w:val="24"/>
        </w:rPr>
        <w:t>About the Appeal Panel</w:t>
      </w:r>
      <w:r w:rsidR="00F31848" w:rsidRPr="008B56F8">
        <w:rPr>
          <w:rFonts w:ascii="Palatino Linotype" w:hAnsi="Palatino Linotype"/>
          <w:b/>
          <w:bCs/>
          <w:sz w:val="24"/>
          <w:szCs w:val="24"/>
        </w:rPr>
        <w:t xml:space="preserve"> and process</w:t>
      </w:r>
    </w:p>
    <w:p w14:paraId="7B4E7EA5" w14:textId="202FD295" w:rsidR="00D53833" w:rsidRPr="008B56F8" w:rsidRDefault="00D53833" w:rsidP="00AA787A">
      <w:pPr>
        <w:shd w:val="clear" w:color="auto" w:fill="FFFFFF"/>
        <w:spacing w:after="300" w:line="240" w:lineRule="auto"/>
        <w:jc w:val="both"/>
        <w:rPr>
          <w:rFonts w:ascii="Palatino Linotype" w:hAnsi="Palatino Linotype"/>
          <w:b/>
          <w:bCs/>
          <w:sz w:val="24"/>
          <w:szCs w:val="24"/>
        </w:rPr>
      </w:pPr>
      <w:r w:rsidRPr="008B56F8">
        <w:rPr>
          <w:rFonts w:ascii="Palatino Linotype" w:hAnsi="Palatino Linotype"/>
          <w:sz w:val="24"/>
          <w:szCs w:val="24"/>
        </w:rPr>
        <w:t xml:space="preserve">Members of the IFoA who have </w:t>
      </w:r>
      <w:r w:rsidR="006E7A79" w:rsidRPr="008B56F8">
        <w:rPr>
          <w:rFonts w:ascii="Palatino Linotype" w:hAnsi="Palatino Linotype"/>
          <w:sz w:val="24"/>
          <w:szCs w:val="24"/>
        </w:rPr>
        <w:t xml:space="preserve">received </w:t>
      </w:r>
      <w:r w:rsidRPr="008B56F8">
        <w:rPr>
          <w:rFonts w:ascii="Palatino Linotype" w:hAnsi="Palatino Linotype"/>
          <w:sz w:val="24"/>
          <w:szCs w:val="24"/>
        </w:rPr>
        <w:t>a finding of misconduct against them at a Disciplinary Tribunal Panel</w:t>
      </w:r>
      <w:r w:rsidR="006E7A79" w:rsidRPr="008B56F8">
        <w:rPr>
          <w:rFonts w:ascii="Palatino Linotype" w:hAnsi="Palatino Linotype"/>
          <w:sz w:val="24"/>
          <w:szCs w:val="24"/>
        </w:rPr>
        <w:t xml:space="preserve"> can appeal the finding</w:t>
      </w:r>
      <w:r w:rsidR="00CC2777" w:rsidRPr="008B56F8">
        <w:rPr>
          <w:rFonts w:ascii="Palatino Linotype" w:hAnsi="Palatino Linotype"/>
          <w:sz w:val="24"/>
          <w:szCs w:val="24"/>
        </w:rPr>
        <w:t xml:space="preserve"> to an Appeal Panel</w:t>
      </w:r>
      <w:r w:rsidR="006E7A79" w:rsidRPr="008B56F8">
        <w:rPr>
          <w:rFonts w:ascii="Palatino Linotype" w:hAnsi="Palatino Linotype"/>
          <w:sz w:val="24"/>
          <w:szCs w:val="24"/>
        </w:rPr>
        <w:t>.</w:t>
      </w:r>
      <w:r w:rsidRPr="008B56F8">
        <w:rPr>
          <w:rFonts w:ascii="Palatino Linotype" w:hAnsi="Palatino Linotype"/>
          <w:sz w:val="24"/>
          <w:szCs w:val="24"/>
        </w:rPr>
        <w:t xml:space="preserve"> </w:t>
      </w:r>
    </w:p>
    <w:p w14:paraId="3C92765D" w14:textId="7D77415B" w:rsidR="008B56F8" w:rsidRPr="008B56F8" w:rsidRDefault="008B56F8" w:rsidP="006E7A79">
      <w:pPr>
        <w:jc w:val="both"/>
        <w:rPr>
          <w:rFonts w:ascii="Palatino Linotype" w:hAnsi="Palatino Linotype"/>
          <w:color w:val="1F497D"/>
          <w:sz w:val="24"/>
          <w:szCs w:val="24"/>
        </w:rPr>
      </w:pPr>
      <w:r w:rsidRPr="008B56F8">
        <w:rPr>
          <w:rFonts w:ascii="Palatino Linotype" w:hAnsi="Palatino Linotype"/>
          <w:sz w:val="24"/>
          <w:szCs w:val="24"/>
        </w:rPr>
        <w:t xml:space="preserve">Information on the IFoA’s </w:t>
      </w:r>
      <w:hyperlink r:id="rId6" w:history="1">
        <w:r w:rsidRPr="008B56F8">
          <w:rPr>
            <w:rStyle w:val="Hyperlink"/>
            <w:rFonts w:ascii="Palatino Linotype" w:hAnsi="Palatino Linotype"/>
            <w:sz w:val="24"/>
            <w:szCs w:val="24"/>
          </w:rPr>
          <w:t>independent disciplinary process</w:t>
        </w:r>
      </w:hyperlink>
      <w:r w:rsidRPr="008B56F8">
        <w:rPr>
          <w:rFonts w:ascii="Palatino Linotype" w:hAnsi="Palatino Linotype"/>
          <w:sz w:val="24"/>
          <w:szCs w:val="24"/>
        </w:rPr>
        <w:t xml:space="preserve"> and the annual reports of </w:t>
      </w:r>
      <w:hyperlink r:id="rId7" w:history="1">
        <w:r w:rsidRPr="008B56F8">
          <w:rPr>
            <w:rStyle w:val="Hyperlink"/>
            <w:rFonts w:ascii="Palatino Linotype" w:hAnsi="Palatino Linotype"/>
            <w:sz w:val="24"/>
            <w:szCs w:val="24"/>
          </w:rPr>
          <w:t>the Disciplinary Committee</w:t>
        </w:r>
      </w:hyperlink>
      <w:r w:rsidRPr="008B56F8">
        <w:rPr>
          <w:rFonts w:ascii="Palatino Linotype" w:hAnsi="Palatino Linotype"/>
          <w:sz w:val="24"/>
          <w:szCs w:val="24"/>
        </w:rPr>
        <w:t xml:space="preserve"> can be found on our website.</w:t>
      </w:r>
      <w:r w:rsidRPr="008B56F8">
        <w:rPr>
          <w:rFonts w:ascii="Palatino Linotype" w:hAnsi="Palatino Linotype"/>
          <w:color w:val="1F497D"/>
          <w:sz w:val="24"/>
          <w:szCs w:val="24"/>
        </w:rPr>
        <w:t xml:space="preserve"> </w:t>
      </w:r>
    </w:p>
    <w:p w14:paraId="4952C718" w14:textId="13D71021" w:rsidR="00F31848" w:rsidRPr="008B56F8" w:rsidRDefault="00CC2777" w:rsidP="006E7A79">
      <w:pPr>
        <w:jc w:val="both"/>
        <w:rPr>
          <w:rStyle w:val="Hyperlink"/>
          <w:rFonts w:ascii="Palatino Linotype" w:hAnsi="Palatino Linotype"/>
          <w:color w:val="1F497D"/>
          <w:sz w:val="24"/>
          <w:szCs w:val="24"/>
          <w:u w:val="none"/>
        </w:rPr>
      </w:pPr>
      <w:r w:rsidRPr="008B56F8">
        <w:rPr>
          <w:rFonts w:ascii="Palatino Linotype" w:hAnsi="Palatino Linotype"/>
          <w:sz w:val="24"/>
          <w:szCs w:val="24"/>
        </w:rPr>
        <w:t>I</w:t>
      </w:r>
      <w:r w:rsidR="006E7A79" w:rsidRPr="008B56F8">
        <w:rPr>
          <w:rFonts w:ascii="Palatino Linotype" w:hAnsi="Palatino Linotype"/>
          <w:sz w:val="24"/>
          <w:szCs w:val="24"/>
        </w:rPr>
        <w:t>nformation about the Appeals Tribunal, see section 2.33 to 2.35 and section 11 of the IFoA’s disciplinary and Capacity for Membership Scheme</w:t>
      </w:r>
      <w:r w:rsidR="00F31848" w:rsidRPr="008B56F8">
        <w:rPr>
          <w:rFonts w:ascii="Palatino Linotype" w:hAnsi="Palatino Linotype"/>
          <w:sz w:val="24"/>
          <w:szCs w:val="24"/>
        </w:rPr>
        <w:t xml:space="preserve"> can be found here</w:t>
      </w:r>
      <w:r w:rsidR="006E7A79" w:rsidRPr="008B56F8">
        <w:rPr>
          <w:rFonts w:ascii="Palatino Linotype" w:hAnsi="Palatino Linotype"/>
          <w:sz w:val="24"/>
          <w:szCs w:val="24"/>
        </w:rPr>
        <w:t xml:space="preserve">: </w:t>
      </w:r>
      <w:hyperlink r:id="rId8" w:history="1">
        <w:r w:rsidR="006E7A79" w:rsidRPr="008B56F8">
          <w:rPr>
            <w:rStyle w:val="Hyperlink"/>
            <w:rFonts w:ascii="Palatino Linotype" w:hAnsi="Palatino Linotype"/>
            <w:sz w:val="24"/>
            <w:szCs w:val="24"/>
          </w:rPr>
          <w:t>https://www.actuaries.org.uk/upholding-standards/complaints-and-disciplinary-process/disciplinary-and-capacity-membership-schemes</w:t>
        </w:r>
      </w:hyperlink>
      <w:r w:rsidR="00F31848" w:rsidRPr="008B56F8">
        <w:rPr>
          <w:rStyle w:val="Hyperlink"/>
          <w:rFonts w:ascii="Palatino Linotype" w:hAnsi="Palatino Linotype"/>
          <w:sz w:val="24"/>
          <w:szCs w:val="24"/>
          <w:u w:val="none"/>
        </w:rPr>
        <w:t xml:space="preserve">  </w:t>
      </w:r>
    </w:p>
    <w:p w14:paraId="6807BD8D" w14:textId="652FEAE8" w:rsidR="00054907" w:rsidRPr="008B56F8" w:rsidRDefault="0039161C" w:rsidP="00AA787A">
      <w:pPr>
        <w:shd w:val="clear" w:color="auto" w:fill="FFFFFF"/>
        <w:spacing w:after="300" w:line="240" w:lineRule="auto"/>
        <w:jc w:val="both"/>
        <w:rPr>
          <w:rFonts w:ascii="Palatino Linotype" w:hAnsi="Palatino Linotype"/>
          <w:sz w:val="24"/>
          <w:szCs w:val="24"/>
        </w:rPr>
      </w:pPr>
      <w:r w:rsidRPr="008B56F8">
        <w:rPr>
          <w:rFonts w:ascii="Palatino Linotype" w:hAnsi="Palatino Linotype"/>
          <w:b/>
          <w:bCs/>
          <w:sz w:val="24"/>
          <w:szCs w:val="24"/>
        </w:rPr>
        <w:t>T</w:t>
      </w:r>
      <w:r w:rsidR="00054907" w:rsidRPr="008B56F8">
        <w:rPr>
          <w:rFonts w:ascii="Palatino Linotype" w:hAnsi="Palatino Linotype"/>
          <w:b/>
          <w:bCs/>
          <w:sz w:val="24"/>
          <w:szCs w:val="24"/>
        </w:rPr>
        <w:t>he role of the Deputy Chair of the Appeals Tribunal</w:t>
      </w:r>
    </w:p>
    <w:p w14:paraId="0BFFB4B3" w14:textId="77777777" w:rsidR="00054907" w:rsidRPr="008B56F8" w:rsidRDefault="00054907" w:rsidP="00AA787A">
      <w:pPr>
        <w:jc w:val="both"/>
        <w:rPr>
          <w:rFonts w:ascii="Palatino Linotype" w:hAnsi="Palatino Linotype"/>
          <w:sz w:val="24"/>
          <w:szCs w:val="24"/>
        </w:rPr>
      </w:pPr>
      <w:r w:rsidRPr="008B56F8">
        <w:rPr>
          <w:rFonts w:ascii="Palatino Linotype" w:hAnsi="Palatino Linotype"/>
          <w:sz w:val="24"/>
          <w:szCs w:val="24"/>
        </w:rPr>
        <w:t xml:space="preserve">The Deputy Chair of the Appeals Tribunal is responsible for overseeing the IFoA’s appeals process in accordance with the Rules, which includes: </w:t>
      </w:r>
    </w:p>
    <w:p w14:paraId="6BC3EEC6" w14:textId="77777777" w:rsidR="00054907" w:rsidRPr="008B56F8" w:rsidRDefault="00054907" w:rsidP="00AA787A">
      <w:pPr>
        <w:pStyle w:val="Default"/>
        <w:numPr>
          <w:ilvl w:val="0"/>
          <w:numId w:val="1"/>
        </w:numPr>
        <w:ind w:left="1298" w:right="136"/>
        <w:jc w:val="both"/>
        <w:rPr>
          <w:rFonts w:ascii="Palatino Linotype" w:hAnsi="Palatino Linotype"/>
        </w:rPr>
      </w:pPr>
      <w:r w:rsidRPr="008B56F8">
        <w:rPr>
          <w:rFonts w:ascii="Palatino Linotype" w:hAnsi="Palatino Linotype" w:cs="Calibri"/>
        </w:rPr>
        <w:t xml:space="preserve">Determining whether to grant leave to appeal the determinations of the Disciplinary Tribunal Panel, Interim orders and appeals against refusal </w:t>
      </w:r>
      <w:r w:rsidRPr="008B56F8">
        <w:rPr>
          <w:rFonts w:ascii="Palatino Linotype" w:hAnsi="Palatino Linotype" w:cs="Calibri"/>
        </w:rPr>
        <w:lastRenderedPageBreak/>
        <w:t>of readmission to membership following disciplinary expulsion or exclusion</w:t>
      </w:r>
    </w:p>
    <w:p w14:paraId="56AC012A" w14:textId="77777777" w:rsidR="00054907" w:rsidRPr="008B56F8" w:rsidRDefault="00054907" w:rsidP="00AA787A">
      <w:pPr>
        <w:pStyle w:val="Default"/>
        <w:numPr>
          <w:ilvl w:val="0"/>
          <w:numId w:val="1"/>
        </w:numPr>
        <w:ind w:left="1298" w:right="136"/>
        <w:jc w:val="both"/>
        <w:rPr>
          <w:rFonts w:ascii="Palatino Linotype" w:hAnsi="Palatino Linotype"/>
        </w:rPr>
      </w:pPr>
      <w:r w:rsidRPr="008B56F8">
        <w:rPr>
          <w:rFonts w:ascii="Palatino Linotype" w:hAnsi="Palatino Linotype" w:cs="Calibri"/>
        </w:rPr>
        <w:t xml:space="preserve">Chairing Appeal hearings, which may, at the sole discretion of the Chair, be public hearings </w:t>
      </w:r>
    </w:p>
    <w:p w14:paraId="6FC25F04" w14:textId="587A748F" w:rsidR="00054907" w:rsidRPr="008B56F8" w:rsidRDefault="00054907" w:rsidP="006E7A79">
      <w:pPr>
        <w:pStyle w:val="Default"/>
        <w:numPr>
          <w:ilvl w:val="0"/>
          <w:numId w:val="1"/>
        </w:numPr>
        <w:ind w:left="1298" w:right="136"/>
        <w:jc w:val="both"/>
        <w:rPr>
          <w:rFonts w:ascii="Palatino Linotype" w:hAnsi="Palatino Linotype"/>
        </w:rPr>
      </w:pPr>
      <w:r w:rsidRPr="008B56F8">
        <w:rPr>
          <w:rFonts w:ascii="Palatino Linotype" w:hAnsi="Palatino Linotype" w:cs="Calibri"/>
        </w:rPr>
        <w:t>Drafting relevant determinations</w:t>
      </w:r>
      <w:r w:rsidRPr="008B56F8">
        <w:rPr>
          <w:rFonts w:ascii="Palatino Linotype" w:hAnsi="Palatino Linotype"/>
          <w:color w:val="1F497D"/>
        </w:rPr>
        <w:t>        </w:t>
      </w:r>
    </w:p>
    <w:p w14:paraId="0EC3FC84" w14:textId="77777777" w:rsidR="00054907" w:rsidRPr="008B56F8" w:rsidRDefault="00054907" w:rsidP="00AA787A">
      <w:pPr>
        <w:jc w:val="both"/>
        <w:rPr>
          <w:rFonts w:ascii="Palatino Linotype" w:hAnsi="Palatino Linotype"/>
          <w:sz w:val="24"/>
          <w:szCs w:val="24"/>
        </w:rPr>
      </w:pPr>
      <w:r w:rsidRPr="008B56F8">
        <w:rPr>
          <w:rFonts w:ascii="Palatino Linotype" w:hAnsi="Palatino Linotype"/>
          <w:color w:val="1F497D"/>
          <w:sz w:val="24"/>
          <w:szCs w:val="24"/>
        </w:rPr>
        <w:t> </w:t>
      </w:r>
    </w:p>
    <w:p w14:paraId="1455616E" w14:textId="6162660D" w:rsidR="00054907" w:rsidRPr="008B56F8" w:rsidRDefault="00054907" w:rsidP="00AA787A">
      <w:pPr>
        <w:pStyle w:val="Default"/>
        <w:ind w:right="136"/>
        <w:jc w:val="both"/>
        <w:rPr>
          <w:rFonts w:ascii="Palatino Linotype" w:hAnsi="Palatino Linotype"/>
        </w:rPr>
      </w:pPr>
      <w:r w:rsidRPr="008B56F8">
        <w:rPr>
          <w:rFonts w:ascii="Palatino Linotype" w:hAnsi="Palatino Linotype"/>
          <w:b/>
          <w:bCs/>
        </w:rPr>
        <w:t>Knowledge and experience</w:t>
      </w:r>
      <w:r w:rsidR="00CC2777" w:rsidRPr="008B56F8">
        <w:rPr>
          <w:rFonts w:ascii="Palatino Linotype" w:hAnsi="Palatino Linotype"/>
          <w:b/>
          <w:bCs/>
        </w:rPr>
        <w:t xml:space="preserve"> (person specification)</w:t>
      </w:r>
    </w:p>
    <w:p w14:paraId="2A8777AD" w14:textId="37643396" w:rsidR="00054907" w:rsidRPr="008B56F8" w:rsidRDefault="00054907" w:rsidP="00AA787A">
      <w:pPr>
        <w:pStyle w:val="ListParagraph"/>
        <w:numPr>
          <w:ilvl w:val="0"/>
          <w:numId w:val="2"/>
        </w:numPr>
        <w:ind w:left="1298"/>
        <w:jc w:val="both"/>
        <w:rPr>
          <w:rFonts w:ascii="Palatino Linotype" w:hAnsi="Palatino Linotype"/>
          <w:sz w:val="24"/>
          <w:szCs w:val="24"/>
        </w:rPr>
      </w:pPr>
      <w:r w:rsidRPr="008B56F8">
        <w:rPr>
          <w:rFonts w:ascii="Palatino Linotype" w:hAnsi="Palatino Linotype"/>
          <w:sz w:val="24"/>
          <w:szCs w:val="24"/>
        </w:rPr>
        <w:t xml:space="preserve">Knowledge, </w:t>
      </w:r>
      <w:r w:rsidR="00F31848" w:rsidRPr="008B56F8">
        <w:rPr>
          <w:rFonts w:ascii="Palatino Linotype" w:hAnsi="Palatino Linotype"/>
          <w:sz w:val="24"/>
          <w:szCs w:val="24"/>
        </w:rPr>
        <w:t>skills,</w:t>
      </w:r>
      <w:r w:rsidRPr="008B56F8">
        <w:rPr>
          <w:rFonts w:ascii="Palatino Linotype" w:hAnsi="Palatino Linotype"/>
          <w:sz w:val="24"/>
          <w:szCs w:val="24"/>
        </w:rPr>
        <w:t xml:space="preserve"> and experience of professional regulatory enforcement processes are essential</w:t>
      </w:r>
      <w:r w:rsidR="00F31848" w:rsidRPr="008B56F8">
        <w:rPr>
          <w:rFonts w:ascii="Palatino Linotype" w:hAnsi="Palatino Linotype"/>
          <w:sz w:val="24"/>
          <w:szCs w:val="24"/>
        </w:rPr>
        <w:t xml:space="preserve">. </w:t>
      </w:r>
      <w:r w:rsidRPr="008B56F8">
        <w:rPr>
          <w:rFonts w:ascii="Palatino Linotype" w:hAnsi="Palatino Linotype"/>
          <w:sz w:val="24"/>
          <w:szCs w:val="24"/>
        </w:rPr>
        <w:t xml:space="preserve">           </w:t>
      </w:r>
    </w:p>
    <w:p w14:paraId="2A0702F6" w14:textId="77777777" w:rsidR="00054907" w:rsidRPr="008B56F8" w:rsidRDefault="00054907" w:rsidP="00AA787A">
      <w:pPr>
        <w:pStyle w:val="ListParagraph"/>
        <w:numPr>
          <w:ilvl w:val="0"/>
          <w:numId w:val="2"/>
        </w:numPr>
        <w:ind w:left="1298"/>
        <w:jc w:val="both"/>
        <w:rPr>
          <w:rFonts w:ascii="Palatino Linotype" w:hAnsi="Palatino Linotype"/>
          <w:sz w:val="24"/>
          <w:szCs w:val="24"/>
        </w:rPr>
      </w:pPr>
      <w:r w:rsidRPr="008B56F8">
        <w:rPr>
          <w:rFonts w:ascii="Palatino Linotype" w:hAnsi="Palatino Linotype"/>
          <w:sz w:val="24"/>
          <w:szCs w:val="24"/>
        </w:rPr>
        <w:t xml:space="preserve">It would be desirable to have an understanding of the range of work which Actuaries are engaged in. </w:t>
      </w:r>
    </w:p>
    <w:p w14:paraId="6A096C69" w14:textId="1366A7B9" w:rsidR="00054907" w:rsidRPr="008B56F8" w:rsidRDefault="00054907" w:rsidP="00AA787A">
      <w:pPr>
        <w:pStyle w:val="ListParagraph"/>
        <w:numPr>
          <w:ilvl w:val="0"/>
          <w:numId w:val="2"/>
        </w:numPr>
        <w:ind w:left="1298"/>
        <w:jc w:val="both"/>
        <w:rPr>
          <w:rFonts w:ascii="Palatino Linotype" w:hAnsi="Palatino Linotype"/>
          <w:sz w:val="24"/>
          <w:szCs w:val="24"/>
        </w:rPr>
      </w:pPr>
      <w:r w:rsidRPr="008B56F8">
        <w:rPr>
          <w:rFonts w:ascii="Palatino Linotype" w:hAnsi="Palatino Linotype"/>
          <w:sz w:val="24"/>
          <w:szCs w:val="24"/>
        </w:rPr>
        <w:t xml:space="preserve">Experience of chairing judicial, </w:t>
      </w:r>
      <w:r w:rsidR="00F31848" w:rsidRPr="008B56F8">
        <w:rPr>
          <w:rFonts w:ascii="Palatino Linotype" w:hAnsi="Palatino Linotype"/>
          <w:sz w:val="24"/>
          <w:szCs w:val="24"/>
        </w:rPr>
        <w:t>regulatory,</w:t>
      </w:r>
      <w:r w:rsidRPr="008B56F8">
        <w:rPr>
          <w:rFonts w:ascii="Palatino Linotype" w:hAnsi="Palatino Linotype"/>
          <w:sz w:val="24"/>
          <w:szCs w:val="24"/>
        </w:rPr>
        <w:t xml:space="preserve"> or other appeal processes and drafting decisions is particularly desirable.</w:t>
      </w:r>
    </w:p>
    <w:p w14:paraId="0690D835" w14:textId="77777777" w:rsidR="00054907" w:rsidRPr="008B56F8" w:rsidRDefault="00054907" w:rsidP="00AA787A">
      <w:pPr>
        <w:pStyle w:val="Default"/>
        <w:ind w:left="578"/>
        <w:jc w:val="both"/>
        <w:rPr>
          <w:rFonts w:ascii="Palatino Linotype" w:hAnsi="Palatino Linotype"/>
        </w:rPr>
      </w:pPr>
      <w:r w:rsidRPr="008B56F8">
        <w:rPr>
          <w:rFonts w:ascii="Palatino Linotype" w:hAnsi="Palatino Linotype" w:cs="Calibri"/>
          <w:b/>
          <w:bCs/>
        </w:rPr>
        <w:t> </w:t>
      </w:r>
    </w:p>
    <w:p w14:paraId="3FB2BBE7" w14:textId="77777777" w:rsidR="00F31848" w:rsidRPr="008B56F8" w:rsidRDefault="00F31848" w:rsidP="00AA787A">
      <w:pPr>
        <w:pStyle w:val="Default"/>
        <w:jc w:val="both"/>
        <w:rPr>
          <w:rFonts w:ascii="Palatino Linotype" w:hAnsi="Palatino Linotype" w:cs="Calibri"/>
          <w:b/>
          <w:bCs/>
        </w:rPr>
      </w:pPr>
    </w:p>
    <w:p w14:paraId="7DC3177B" w14:textId="30A4DCAE" w:rsidR="00054907" w:rsidRPr="008B56F8" w:rsidRDefault="00054907" w:rsidP="00AA787A">
      <w:pPr>
        <w:pStyle w:val="Default"/>
        <w:jc w:val="both"/>
        <w:rPr>
          <w:rFonts w:ascii="Palatino Linotype" w:hAnsi="Palatino Linotype"/>
        </w:rPr>
      </w:pPr>
      <w:r w:rsidRPr="008B56F8">
        <w:rPr>
          <w:rFonts w:ascii="Palatino Linotype" w:hAnsi="Palatino Linotype" w:cs="Calibri"/>
          <w:b/>
          <w:bCs/>
        </w:rPr>
        <w:t>Time Commitment</w:t>
      </w:r>
    </w:p>
    <w:p w14:paraId="4068CCA9" w14:textId="6D0B93DF" w:rsidR="00054907" w:rsidRPr="008B56F8" w:rsidRDefault="00054907" w:rsidP="00AA787A">
      <w:pPr>
        <w:pStyle w:val="Default"/>
        <w:jc w:val="both"/>
        <w:rPr>
          <w:rFonts w:ascii="Palatino Linotype" w:hAnsi="Palatino Linotype"/>
        </w:rPr>
      </w:pPr>
      <w:r w:rsidRPr="008B56F8">
        <w:rPr>
          <w:rFonts w:ascii="Palatino Linotype" w:hAnsi="Palatino Linotype" w:cs="Calibri"/>
        </w:rPr>
        <w:t xml:space="preserve">As required depending on the number of cases per year. Case volume is generally low and variable. </w:t>
      </w:r>
      <w:r w:rsidR="00CA0D71">
        <w:rPr>
          <w:rFonts w:ascii="Palatino Linotype" w:hAnsi="Palatino Linotype" w:cs="Calibri"/>
        </w:rPr>
        <w:t xml:space="preserve">The role will commence on or around 1 January 2022. </w:t>
      </w:r>
    </w:p>
    <w:p w14:paraId="0F80365B" w14:textId="77777777" w:rsidR="00054907" w:rsidRPr="008B56F8" w:rsidRDefault="00054907" w:rsidP="00AA787A">
      <w:pPr>
        <w:pStyle w:val="Default"/>
        <w:ind w:left="578"/>
        <w:jc w:val="both"/>
        <w:rPr>
          <w:rFonts w:ascii="Palatino Linotype" w:hAnsi="Palatino Linotype"/>
        </w:rPr>
      </w:pPr>
      <w:r w:rsidRPr="008B56F8">
        <w:rPr>
          <w:rFonts w:ascii="Palatino Linotype" w:hAnsi="Palatino Linotype" w:cs="Calibri"/>
          <w:b/>
          <w:bCs/>
        </w:rPr>
        <w:t> </w:t>
      </w:r>
    </w:p>
    <w:p w14:paraId="6BF35031" w14:textId="77777777" w:rsidR="00AA787A" w:rsidRPr="008B56F8" w:rsidRDefault="00054907" w:rsidP="00AA787A">
      <w:pPr>
        <w:pStyle w:val="Default"/>
        <w:jc w:val="both"/>
        <w:rPr>
          <w:rFonts w:ascii="Palatino Linotype" w:hAnsi="Palatino Linotype" w:cs="Calibri"/>
          <w:b/>
          <w:bCs/>
        </w:rPr>
      </w:pPr>
      <w:r w:rsidRPr="008B56F8">
        <w:rPr>
          <w:rFonts w:ascii="Palatino Linotype" w:hAnsi="Palatino Linotype" w:cs="Calibri"/>
          <w:b/>
          <w:bCs/>
        </w:rPr>
        <w:t xml:space="preserve">Remuneration </w:t>
      </w:r>
    </w:p>
    <w:p w14:paraId="068D0EE0" w14:textId="77777777" w:rsidR="00AA787A" w:rsidRPr="008B56F8" w:rsidRDefault="00AA787A" w:rsidP="00AA787A">
      <w:pPr>
        <w:pStyle w:val="Default"/>
        <w:jc w:val="both"/>
        <w:rPr>
          <w:rFonts w:ascii="Palatino Linotype" w:hAnsi="Palatino Linotype" w:cs="Calibri"/>
          <w:b/>
          <w:bCs/>
        </w:rPr>
      </w:pPr>
    </w:p>
    <w:p w14:paraId="7A131C88" w14:textId="70584CF4" w:rsidR="00054907" w:rsidRPr="008B56F8" w:rsidRDefault="00054907" w:rsidP="00AA787A">
      <w:pPr>
        <w:pStyle w:val="Default"/>
        <w:jc w:val="both"/>
        <w:rPr>
          <w:rFonts w:ascii="Palatino Linotype" w:hAnsi="Palatino Linotype"/>
        </w:rPr>
      </w:pPr>
      <w:r w:rsidRPr="008B56F8">
        <w:rPr>
          <w:rFonts w:ascii="Palatino Linotype" w:hAnsi="Palatino Linotype"/>
        </w:rPr>
        <w:t>This office holder role is remunerated and attracts a day rate of £600 per day. Any expenses incurred in the role are recoverable from the Institute and Faculty of Actuaries in line with IFoA policies. Unless specified by the IFoA during the course of your appointment, there is no specific training provided. Time taken to view any support, materials or tools that may be provided is not subject to remuneration.</w:t>
      </w:r>
    </w:p>
    <w:p w14:paraId="41062A32" w14:textId="77777777" w:rsidR="00F31848" w:rsidRPr="008B56F8" w:rsidRDefault="00F31848" w:rsidP="00F31848">
      <w:pPr>
        <w:pStyle w:val="Default"/>
        <w:jc w:val="both"/>
        <w:rPr>
          <w:rFonts w:ascii="Palatino Linotype" w:hAnsi="Palatino Linotype" w:cs="Calibri"/>
          <w:b/>
          <w:bCs/>
        </w:rPr>
      </w:pPr>
    </w:p>
    <w:p w14:paraId="248DA10C" w14:textId="77777777" w:rsidR="00F31848" w:rsidRPr="008B56F8" w:rsidRDefault="00F31848" w:rsidP="00F31848">
      <w:pPr>
        <w:jc w:val="both"/>
        <w:rPr>
          <w:rFonts w:ascii="Palatino Linotype" w:hAnsi="Palatino Linotype"/>
          <w:b/>
          <w:bCs/>
          <w:sz w:val="24"/>
          <w:szCs w:val="24"/>
          <w:lang w:val="en"/>
        </w:rPr>
      </w:pPr>
      <w:r w:rsidRPr="008B56F8">
        <w:rPr>
          <w:rFonts w:ascii="Palatino Linotype" w:hAnsi="Palatino Linotype"/>
          <w:b/>
          <w:bCs/>
          <w:sz w:val="24"/>
          <w:szCs w:val="24"/>
          <w:lang w:val="en"/>
        </w:rPr>
        <w:t>Selection Criteria</w:t>
      </w:r>
    </w:p>
    <w:p w14:paraId="68681DE0" w14:textId="6E367DD1" w:rsidR="00F31848" w:rsidRPr="008B56F8" w:rsidRDefault="00F31848" w:rsidP="00F31848">
      <w:pPr>
        <w:jc w:val="both"/>
        <w:rPr>
          <w:rFonts w:ascii="Palatino Linotype" w:hAnsi="Palatino Linotype"/>
          <w:sz w:val="24"/>
          <w:szCs w:val="24"/>
        </w:rPr>
      </w:pPr>
      <w:r w:rsidRPr="008B56F8">
        <w:rPr>
          <w:rFonts w:ascii="Palatino Linotype" w:hAnsi="Palatino Linotype"/>
          <w:sz w:val="24"/>
          <w:szCs w:val="24"/>
        </w:rPr>
        <w:t xml:space="preserve">In addition to the person specification above, applicants for the position should be a QC with a good working knowledge of </w:t>
      </w:r>
      <w:r w:rsidR="00CC2777" w:rsidRPr="008B56F8">
        <w:rPr>
          <w:rFonts w:ascii="Palatino Linotype" w:hAnsi="Palatino Linotype"/>
          <w:sz w:val="24"/>
          <w:szCs w:val="24"/>
        </w:rPr>
        <w:t>disciplinary matters</w:t>
      </w:r>
      <w:r w:rsidRPr="008B56F8">
        <w:rPr>
          <w:rFonts w:ascii="Palatino Linotype" w:hAnsi="Palatino Linotype"/>
          <w:sz w:val="24"/>
          <w:szCs w:val="24"/>
        </w:rPr>
        <w:t>.  The Bar Council in particular welcomes applications from those from a diverse background. However, all applications will be considered.</w:t>
      </w:r>
    </w:p>
    <w:p w14:paraId="7D4F1661" w14:textId="77777777" w:rsidR="00F31848" w:rsidRPr="008B56F8" w:rsidRDefault="00F31848" w:rsidP="00F31848">
      <w:pPr>
        <w:ind w:right="95"/>
        <w:jc w:val="both"/>
        <w:rPr>
          <w:rFonts w:ascii="Palatino Linotype" w:hAnsi="Palatino Linotype"/>
          <w:sz w:val="24"/>
          <w:szCs w:val="24"/>
        </w:rPr>
      </w:pPr>
      <w:r w:rsidRPr="008B56F8">
        <w:rPr>
          <w:rFonts w:ascii="Palatino Linotype" w:hAnsi="Palatino Linotype"/>
          <w:sz w:val="24"/>
          <w:szCs w:val="24"/>
        </w:rPr>
        <w:t xml:space="preserve">Applications will be presented to the General Management Committee of the Bar Council who are responsible for selecting the successful candidate based on merit.  The Bar Council is committed to ensuring fairness, transparency and openness in its recruitment processes.  In addition, consideration is given to matters of equality and diversity. </w:t>
      </w:r>
    </w:p>
    <w:p w14:paraId="274789CD" w14:textId="77777777" w:rsidR="00AA787A" w:rsidRPr="008B56F8" w:rsidRDefault="00AA787A" w:rsidP="00AA787A">
      <w:pPr>
        <w:shd w:val="clear" w:color="auto" w:fill="FFFFFF"/>
        <w:spacing w:after="300" w:line="240" w:lineRule="auto"/>
        <w:jc w:val="both"/>
        <w:rPr>
          <w:rFonts w:ascii="Palatino Linotype" w:eastAsia="Times New Roman" w:hAnsi="Palatino Linotype" w:cs="Times New Roman"/>
          <w:color w:val="000000"/>
          <w:sz w:val="24"/>
          <w:szCs w:val="24"/>
          <w:lang w:eastAsia="en-GB"/>
        </w:rPr>
      </w:pPr>
    </w:p>
    <w:p w14:paraId="60CAA82B" w14:textId="77777777" w:rsidR="00F31848" w:rsidRPr="008B56F8" w:rsidRDefault="00D809B4" w:rsidP="00AA787A">
      <w:pPr>
        <w:shd w:val="clear" w:color="auto" w:fill="FFFFFF"/>
        <w:spacing w:after="300" w:line="240" w:lineRule="auto"/>
        <w:jc w:val="both"/>
        <w:rPr>
          <w:rFonts w:ascii="Palatino Linotype" w:eastAsia="Times New Roman" w:hAnsi="Palatino Linotype" w:cs="Times New Roman"/>
          <w:color w:val="000000"/>
          <w:sz w:val="24"/>
          <w:szCs w:val="24"/>
          <w:lang w:eastAsia="en-GB"/>
        </w:rPr>
      </w:pPr>
      <w:r w:rsidRPr="008B56F8">
        <w:rPr>
          <w:rFonts w:ascii="Palatino Linotype" w:eastAsia="Times New Roman" w:hAnsi="Palatino Linotype" w:cs="Times New Roman"/>
          <w:b/>
          <w:bCs/>
          <w:color w:val="000000"/>
          <w:sz w:val="24"/>
          <w:szCs w:val="24"/>
          <w:lang w:eastAsia="en-GB"/>
        </w:rPr>
        <w:t>How to apply</w:t>
      </w:r>
    </w:p>
    <w:p w14:paraId="3D26BFF5" w14:textId="429171E1" w:rsidR="00D809B4" w:rsidRPr="008B56F8" w:rsidRDefault="00D809B4" w:rsidP="00AA787A">
      <w:pPr>
        <w:shd w:val="clear" w:color="auto" w:fill="FFFFFF"/>
        <w:spacing w:after="300" w:line="240" w:lineRule="auto"/>
        <w:jc w:val="both"/>
        <w:rPr>
          <w:rFonts w:ascii="Palatino Linotype" w:eastAsia="Times New Roman" w:hAnsi="Palatino Linotype" w:cs="Times New Roman"/>
          <w:color w:val="000000"/>
          <w:sz w:val="24"/>
          <w:szCs w:val="24"/>
          <w:lang w:eastAsia="en-GB"/>
        </w:rPr>
      </w:pPr>
      <w:r w:rsidRPr="008B56F8">
        <w:rPr>
          <w:rFonts w:ascii="Palatino Linotype" w:eastAsia="Times New Roman" w:hAnsi="Palatino Linotype" w:cs="Times New Roman"/>
          <w:color w:val="000000"/>
          <w:sz w:val="24"/>
          <w:szCs w:val="24"/>
          <w:lang w:eastAsia="en-GB"/>
        </w:rPr>
        <w:lastRenderedPageBreak/>
        <w:t>Applicants should send a copy of their</w:t>
      </w:r>
      <w:r w:rsidR="00AA787A" w:rsidRPr="008B56F8">
        <w:rPr>
          <w:rFonts w:ascii="Palatino Linotype" w:eastAsia="Times New Roman" w:hAnsi="Palatino Linotype" w:cs="Times New Roman"/>
          <w:color w:val="000000"/>
          <w:sz w:val="24"/>
          <w:szCs w:val="24"/>
          <w:lang w:eastAsia="en-GB"/>
        </w:rPr>
        <w:t xml:space="preserve"> </w:t>
      </w:r>
      <w:r w:rsidRPr="008B56F8">
        <w:rPr>
          <w:rFonts w:ascii="Palatino Linotype" w:eastAsia="Times New Roman" w:hAnsi="Palatino Linotype" w:cs="Times New Roman"/>
          <w:color w:val="000000"/>
          <w:sz w:val="24"/>
          <w:szCs w:val="24"/>
          <w:lang w:eastAsia="en-GB"/>
        </w:rPr>
        <w:t>CV accompanied by a short, written statement stating their suitability for the role and describing their skills and experience, to:</w:t>
      </w:r>
      <w:r w:rsidRPr="008B56F8">
        <w:rPr>
          <w:rFonts w:ascii="Palatino Linotype" w:eastAsia="Times New Roman" w:hAnsi="Palatino Linotype" w:cs="Times New Roman"/>
          <w:color w:val="000000"/>
          <w:sz w:val="24"/>
          <w:szCs w:val="24"/>
          <w:lang w:eastAsia="en-GB"/>
        </w:rPr>
        <w:br/>
        <w:t xml:space="preserve">Amaka Rapu, Committees Governance Officer, </w:t>
      </w:r>
      <w:hyperlink r:id="rId9" w:history="1">
        <w:r w:rsidR="0039161C" w:rsidRPr="008B56F8">
          <w:rPr>
            <w:rStyle w:val="Hyperlink"/>
            <w:rFonts w:ascii="Palatino Linotype" w:eastAsia="Times New Roman" w:hAnsi="Palatino Linotype" w:cs="Times New Roman"/>
            <w:sz w:val="24"/>
            <w:szCs w:val="24"/>
            <w:lang w:eastAsia="en-GB"/>
          </w:rPr>
          <w:t>arapu@barcouncil.org.uk</w:t>
        </w:r>
      </w:hyperlink>
      <w:r w:rsidR="0039161C" w:rsidRPr="008B56F8">
        <w:rPr>
          <w:rFonts w:ascii="Palatino Linotype" w:eastAsia="Times New Roman" w:hAnsi="Palatino Linotype" w:cs="Times New Roman"/>
          <w:color w:val="000000"/>
          <w:sz w:val="24"/>
          <w:szCs w:val="24"/>
          <w:lang w:eastAsia="en-GB"/>
        </w:rPr>
        <w:t xml:space="preserve"> </w:t>
      </w:r>
      <w:r w:rsidRPr="008B56F8">
        <w:rPr>
          <w:rFonts w:ascii="Palatino Linotype" w:eastAsia="Times New Roman" w:hAnsi="Palatino Linotype" w:cs="Times New Roman"/>
          <w:color w:val="000000"/>
          <w:sz w:val="24"/>
          <w:szCs w:val="24"/>
          <w:lang w:eastAsia="en-GB"/>
        </w:rPr>
        <w:t>.</w:t>
      </w:r>
    </w:p>
    <w:p w14:paraId="2DFFB9AB" w14:textId="097E758B" w:rsidR="00CC2777" w:rsidRPr="00AA38D4" w:rsidRDefault="00D809B4" w:rsidP="00CC2777">
      <w:pPr>
        <w:jc w:val="both"/>
        <w:rPr>
          <w:rFonts w:ascii="Palatino Linotype" w:eastAsia="Times New Roman" w:hAnsi="Palatino Linotype" w:cs="Times New Roman"/>
          <w:b/>
          <w:bCs/>
          <w:color w:val="000000"/>
          <w:sz w:val="24"/>
          <w:szCs w:val="24"/>
          <w:lang w:eastAsia="en-GB"/>
        </w:rPr>
      </w:pPr>
      <w:r w:rsidRPr="008B56F8">
        <w:rPr>
          <w:rFonts w:ascii="Palatino Linotype" w:eastAsia="Times New Roman" w:hAnsi="Palatino Linotype" w:cs="Times New Roman"/>
          <w:color w:val="000000"/>
          <w:sz w:val="24"/>
          <w:szCs w:val="24"/>
          <w:lang w:eastAsia="en-GB"/>
        </w:rPr>
        <w:t>The closing date for applications is </w:t>
      </w:r>
      <w:r w:rsidR="00475614" w:rsidRPr="008B56F8">
        <w:rPr>
          <w:rFonts w:ascii="Palatino Linotype" w:eastAsia="Times New Roman" w:hAnsi="Palatino Linotype" w:cs="Times New Roman"/>
          <w:b/>
          <w:bCs/>
          <w:color w:val="000000"/>
          <w:sz w:val="24"/>
          <w:szCs w:val="24"/>
          <w:lang w:eastAsia="en-GB"/>
        </w:rPr>
        <w:t>1</w:t>
      </w:r>
      <w:r w:rsidR="00AF7E9D">
        <w:rPr>
          <w:rFonts w:ascii="Palatino Linotype" w:eastAsia="Times New Roman" w:hAnsi="Palatino Linotype" w:cs="Times New Roman"/>
          <w:b/>
          <w:bCs/>
          <w:color w:val="000000"/>
          <w:sz w:val="24"/>
          <w:szCs w:val="24"/>
          <w:lang w:eastAsia="en-GB"/>
        </w:rPr>
        <w:t>0a</w:t>
      </w:r>
      <w:r w:rsidRPr="008B56F8">
        <w:rPr>
          <w:rFonts w:ascii="Palatino Linotype" w:eastAsia="Times New Roman" w:hAnsi="Palatino Linotype" w:cs="Times New Roman"/>
          <w:b/>
          <w:bCs/>
          <w:color w:val="000000"/>
          <w:sz w:val="24"/>
          <w:szCs w:val="24"/>
          <w:lang w:eastAsia="en-GB"/>
        </w:rPr>
        <w:t>m</w:t>
      </w:r>
      <w:r w:rsidRPr="008B56F8">
        <w:rPr>
          <w:rFonts w:ascii="Palatino Linotype" w:eastAsia="Times New Roman" w:hAnsi="Palatino Linotype" w:cs="Times New Roman"/>
          <w:color w:val="000000"/>
          <w:sz w:val="24"/>
          <w:szCs w:val="24"/>
          <w:lang w:eastAsia="en-GB"/>
        </w:rPr>
        <w:t> on </w:t>
      </w:r>
      <w:r w:rsidR="00AF7E9D">
        <w:rPr>
          <w:rFonts w:ascii="Palatino Linotype" w:eastAsia="Times New Roman" w:hAnsi="Palatino Linotype" w:cs="Times New Roman"/>
          <w:b/>
          <w:bCs/>
          <w:color w:val="000000"/>
          <w:sz w:val="24"/>
          <w:szCs w:val="24"/>
          <w:lang w:eastAsia="en-GB"/>
        </w:rPr>
        <w:t>Friday</w:t>
      </w:r>
      <w:r w:rsidR="00054907" w:rsidRPr="008B56F8">
        <w:rPr>
          <w:rFonts w:ascii="Palatino Linotype" w:eastAsia="Times New Roman" w:hAnsi="Palatino Linotype" w:cs="Times New Roman"/>
          <w:b/>
          <w:bCs/>
          <w:color w:val="000000"/>
          <w:sz w:val="24"/>
          <w:szCs w:val="24"/>
          <w:lang w:eastAsia="en-GB"/>
        </w:rPr>
        <w:t xml:space="preserve"> 2</w:t>
      </w:r>
      <w:r w:rsidR="00AF7E9D">
        <w:rPr>
          <w:rFonts w:ascii="Palatino Linotype" w:eastAsia="Times New Roman" w:hAnsi="Palatino Linotype" w:cs="Times New Roman"/>
          <w:b/>
          <w:bCs/>
          <w:color w:val="000000"/>
          <w:sz w:val="24"/>
          <w:szCs w:val="24"/>
          <w:lang w:eastAsia="en-GB"/>
        </w:rPr>
        <w:t>6</w:t>
      </w:r>
      <w:r w:rsidRPr="008B56F8">
        <w:rPr>
          <w:rFonts w:ascii="Palatino Linotype" w:eastAsia="Times New Roman" w:hAnsi="Palatino Linotype" w:cs="Times New Roman"/>
          <w:b/>
          <w:bCs/>
          <w:color w:val="000000"/>
          <w:sz w:val="24"/>
          <w:szCs w:val="24"/>
          <w:lang w:eastAsia="en-GB"/>
        </w:rPr>
        <w:t xml:space="preserve"> November 2021</w:t>
      </w:r>
      <w:r w:rsidRPr="008B56F8">
        <w:rPr>
          <w:rFonts w:ascii="Palatino Linotype" w:eastAsia="Times New Roman" w:hAnsi="Palatino Linotype" w:cs="Times New Roman"/>
          <w:color w:val="000000"/>
          <w:sz w:val="24"/>
          <w:szCs w:val="24"/>
          <w:lang w:eastAsia="en-GB"/>
        </w:rPr>
        <w:t>.</w:t>
      </w:r>
      <w:r w:rsidR="00CC2777" w:rsidRPr="008B56F8">
        <w:rPr>
          <w:rFonts w:ascii="Palatino Linotype" w:eastAsia="Times New Roman" w:hAnsi="Palatino Linotype" w:cs="Times New Roman"/>
          <w:color w:val="000000"/>
          <w:sz w:val="24"/>
          <w:szCs w:val="24"/>
          <w:lang w:eastAsia="en-GB"/>
        </w:rPr>
        <w:t xml:space="preserve"> </w:t>
      </w:r>
      <w:r w:rsidR="00CC2777" w:rsidRPr="008B56F8">
        <w:rPr>
          <w:rFonts w:ascii="Palatino Linotype" w:hAnsi="Palatino Linotype"/>
          <w:b/>
          <w:sz w:val="24"/>
          <w:szCs w:val="24"/>
        </w:rPr>
        <w:t xml:space="preserve">Successful candidates will be notified as soon as possible. </w:t>
      </w:r>
    </w:p>
    <w:p w14:paraId="129EFA4A" w14:textId="46829722" w:rsidR="00D809B4" w:rsidRPr="008B56F8" w:rsidRDefault="00D809B4" w:rsidP="00AA787A">
      <w:pPr>
        <w:shd w:val="clear" w:color="auto" w:fill="FFFFFF"/>
        <w:spacing w:after="300" w:line="240" w:lineRule="auto"/>
        <w:jc w:val="both"/>
        <w:rPr>
          <w:rFonts w:ascii="Palatino Linotype" w:eastAsia="Times New Roman" w:hAnsi="Palatino Linotype" w:cs="Times New Roman"/>
          <w:b/>
          <w:bCs/>
          <w:color w:val="000000"/>
          <w:sz w:val="24"/>
          <w:szCs w:val="24"/>
          <w:lang w:eastAsia="en-GB"/>
        </w:rPr>
      </w:pPr>
    </w:p>
    <w:p w14:paraId="223D9967" w14:textId="315088BA" w:rsidR="00B95862" w:rsidRPr="008B56F8" w:rsidRDefault="00B95862" w:rsidP="00AA787A">
      <w:pPr>
        <w:jc w:val="both"/>
        <w:rPr>
          <w:rFonts w:ascii="Palatino Linotype" w:hAnsi="Palatino Linotype"/>
          <w:sz w:val="24"/>
          <w:szCs w:val="24"/>
        </w:rPr>
      </w:pPr>
    </w:p>
    <w:sectPr w:rsidR="00B95862" w:rsidRPr="008B5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1A5"/>
    <w:multiLevelType w:val="hybridMultilevel"/>
    <w:tmpl w:val="2996B2F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 w15:restartNumberingAfterBreak="0">
    <w:nsid w:val="4F2A3547"/>
    <w:multiLevelType w:val="hybridMultilevel"/>
    <w:tmpl w:val="0340FA1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71"/>
    <w:rsid w:val="00054907"/>
    <w:rsid w:val="00112BB1"/>
    <w:rsid w:val="002D3871"/>
    <w:rsid w:val="0039161C"/>
    <w:rsid w:val="003D2B97"/>
    <w:rsid w:val="00420A5C"/>
    <w:rsid w:val="00475614"/>
    <w:rsid w:val="004C6E85"/>
    <w:rsid w:val="006D121B"/>
    <w:rsid w:val="006E7A79"/>
    <w:rsid w:val="008B56F8"/>
    <w:rsid w:val="00AA38D4"/>
    <w:rsid w:val="00AA787A"/>
    <w:rsid w:val="00AF7E9D"/>
    <w:rsid w:val="00B95862"/>
    <w:rsid w:val="00CA0D71"/>
    <w:rsid w:val="00CC2777"/>
    <w:rsid w:val="00CE6F07"/>
    <w:rsid w:val="00D53833"/>
    <w:rsid w:val="00D809B4"/>
    <w:rsid w:val="00EB5907"/>
    <w:rsid w:val="00F3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EEBC"/>
  <w15:chartTrackingRefBased/>
  <w15:docId w15:val="{AFEFA3DF-2027-444A-B8B5-6CB70556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809B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09B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80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09B4"/>
    <w:rPr>
      <w:b/>
      <w:bCs/>
    </w:rPr>
  </w:style>
  <w:style w:type="character" w:styleId="Hyperlink">
    <w:name w:val="Hyperlink"/>
    <w:basedOn w:val="DefaultParagraphFont"/>
    <w:uiPriority w:val="99"/>
    <w:unhideWhenUsed/>
    <w:rsid w:val="00054907"/>
    <w:rPr>
      <w:color w:val="0563C1"/>
      <w:u w:val="single"/>
    </w:rPr>
  </w:style>
  <w:style w:type="paragraph" w:styleId="ListParagraph">
    <w:name w:val="List Paragraph"/>
    <w:basedOn w:val="Normal"/>
    <w:uiPriority w:val="34"/>
    <w:qFormat/>
    <w:rsid w:val="00054907"/>
    <w:pPr>
      <w:spacing w:after="0" w:line="240" w:lineRule="auto"/>
      <w:ind w:left="720"/>
      <w:contextualSpacing/>
    </w:pPr>
    <w:rPr>
      <w:rFonts w:ascii="Calibri" w:hAnsi="Calibri" w:cs="Calibri"/>
    </w:rPr>
  </w:style>
  <w:style w:type="paragraph" w:customStyle="1" w:styleId="Default">
    <w:name w:val="Default"/>
    <w:basedOn w:val="Normal"/>
    <w:rsid w:val="00054907"/>
    <w:pPr>
      <w:autoSpaceDE w:val="0"/>
      <w:autoSpaceDN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54907"/>
    <w:rPr>
      <w:i/>
      <w:iCs/>
    </w:rPr>
  </w:style>
  <w:style w:type="character" w:customStyle="1" w:styleId="UnresolvedMention1">
    <w:name w:val="Unresolved Mention1"/>
    <w:basedOn w:val="DefaultParagraphFont"/>
    <w:uiPriority w:val="99"/>
    <w:semiHidden/>
    <w:unhideWhenUsed/>
    <w:rsid w:val="0039161C"/>
    <w:rPr>
      <w:color w:val="605E5C"/>
      <w:shd w:val="clear" w:color="auto" w:fill="E1DFDD"/>
    </w:rPr>
  </w:style>
  <w:style w:type="character" w:styleId="FollowedHyperlink">
    <w:name w:val="FollowedHyperlink"/>
    <w:basedOn w:val="DefaultParagraphFont"/>
    <w:uiPriority w:val="99"/>
    <w:semiHidden/>
    <w:unhideWhenUsed/>
    <w:rsid w:val="006D12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427">
      <w:bodyDiv w:val="1"/>
      <w:marLeft w:val="0"/>
      <w:marRight w:val="0"/>
      <w:marTop w:val="0"/>
      <w:marBottom w:val="0"/>
      <w:divBdr>
        <w:top w:val="none" w:sz="0" w:space="0" w:color="auto"/>
        <w:left w:val="none" w:sz="0" w:space="0" w:color="auto"/>
        <w:bottom w:val="none" w:sz="0" w:space="0" w:color="auto"/>
        <w:right w:val="none" w:sz="0" w:space="0" w:color="auto"/>
      </w:divBdr>
      <w:divsChild>
        <w:div w:id="1669015815">
          <w:marLeft w:val="0"/>
          <w:marRight w:val="0"/>
          <w:marTop w:val="0"/>
          <w:marBottom w:val="0"/>
          <w:divBdr>
            <w:top w:val="none" w:sz="0" w:space="0" w:color="auto"/>
            <w:left w:val="none" w:sz="0" w:space="0" w:color="auto"/>
            <w:bottom w:val="none" w:sz="0" w:space="0" w:color="auto"/>
            <w:right w:val="none" w:sz="0" w:space="0" w:color="auto"/>
          </w:divBdr>
        </w:div>
        <w:div w:id="189995437">
          <w:marLeft w:val="0"/>
          <w:marRight w:val="0"/>
          <w:marTop w:val="0"/>
          <w:marBottom w:val="300"/>
          <w:divBdr>
            <w:top w:val="none" w:sz="0" w:space="0" w:color="auto"/>
            <w:left w:val="none" w:sz="0" w:space="0" w:color="auto"/>
            <w:bottom w:val="none" w:sz="0" w:space="0" w:color="auto"/>
            <w:right w:val="none" w:sz="0" w:space="0" w:color="auto"/>
          </w:divBdr>
        </w:div>
      </w:divsChild>
    </w:div>
    <w:div w:id="1244340279">
      <w:bodyDiv w:val="1"/>
      <w:marLeft w:val="0"/>
      <w:marRight w:val="0"/>
      <w:marTop w:val="0"/>
      <w:marBottom w:val="0"/>
      <w:divBdr>
        <w:top w:val="none" w:sz="0" w:space="0" w:color="auto"/>
        <w:left w:val="none" w:sz="0" w:space="0" w:color="auto"/>
        <w:bottom w:val="none" w:sz="0" w:space="0" w:color="auto"/>
        <w:right w:val="none" w:sz="0" w:space="0" w:color="auto"/>
      </w:divBdr>
    </w:div>
    <w:div w:id="1645501707">
      <w:bodyDiv w:val="1"/>
      <w:marLeft w:val="0"/>
      <w:marRight w:val="0"/>
      <w:marTop w:val="0"/>
      <w:marBottom w:val="0"/>
      <w:divBdr>
        <w:top w:val="none" w:sz="0" w:space="0" w:color="auto"/>
        <w:left w:val="none" w:sz="0" w:space="0" w:color="auto"/>
        <w:bottom w:val="none" w:sz="0" w:space="0" w:color="auto"/>
        <w:right w:val="none" w:sz="0" w:space="0" w:color="auto"/>
      </w:divBdr>
      <w:divsChild>
        <w:div w:id="1333952036">
          <w:marLeft w:val="0"/>
          <w:marRight w:val="0"/>
          <w:marTop w:val="0"/>
          <w:marBottom w:val="0"/>
          <w:divBdr>
            <w:top w:val="none" w:sz="0" w:space="0" w:color="auto"/>
            <w:left w:val="none" w:sz="0" w:space="0" w:color="auto"/>
            <w:bottom w:val="none" w:sz="0" w:space="0" w:color="auto"/>
            <w:right w:val="none" w:sz="0" w:space="0" w:color="auto"/>
          </w:divBdr>
        </w:div>
        <w:div w:id="1491360413">
          <w:marLeft w:val="0"/>
          <w:marRight w:val="0"/>
          <w:marTop w:val="0"/>
          <w:marBottom w:val="300"/>
          <w:divBdr>
            <w:top w:val="none" w:sz="0" w:space="0" w:color="auto"/>
            <w:left w:val="none" w:sz="0" w:space="0" w:color="auto"/>
            <w:bottom w:val="none" w:sz="0" w:space="0" w:color="auto"/>
            <w:right w:val="none" w:sz="0" w:space="0" w:color="auto"/>
          </w:divBdr>
        </w:div>
      </w:divsChild>
    </w:div>
    <w:div w:id="1924411618">
      <w:bodyDiv w:val="1"/>
      <w:marLeft w:val="0"/>
      <w:marRight w:val="0"/>
      <w:marTop w:val="0"/>
      <w:marBottom w:val="0"/>
      <w:divBdr>
        <w:top w:val="none" w:sz="0" w:space="0" w:color="auto"/>
        <w:left w:val="none" w:sz="0" w:space="0" w:color="auto"/>
        <w:bottom w:val="none" w:sz="0" w:space="0" w:color="auto"/>
        <w:right w:val="none" w:sz="0" w:space="0" w:color="auto"/>
      </w:divBdr>
    </w:div>
    <w:div w:id="20104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eNKaCj253TyzVLFWsI6i?domain=actuaries.org.uk" TargetMode="External"/><Relationship Id="rId3" Type="http://schemas.openxmlformats.org/officeDocument/2006/relationships/settings" Target="settings.xml"/><Relationship Id="rId7" Type="http://schemas.openxmlformats.org/officeDocument/2006/relationships/hyperlink" Target="https://protect-eu.mimecast.com/s/XLlCC8qWJUwmk0H1jHF5?domain=actuari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hgLZC76YGuWrRKH8Dahn?domain=actuaries.org.uk" TargetMode="External"/><Relationship Id="rId11" Type="http://schemas.openxmlformats.org/officeDocument/2006/relationships/theme" Target="theme/theme1.xml"/><Relationship Id="rId5" Type="http://schemas.openxmlformats.org/officeDocument/2006/relationships/hyperlink" Target="https://www.actuaries.org.uk/abou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apu@bar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Amaka Rapu</dc:creator>
  <cp:keywords/>
  <dc:description/>
  <cp:lastModifiedBy>Amaka Rapu</cp:lastModifiedBy>
  <cp:revision>3</cp:revision>
  <dcterms:created xsi:type="dcterms:W3CDTF">2021-11-10T15:55:00Z</dcterms:created>
  <dcterms:modified xsi:type="dcterms:W3CDTF">2021-11-23T15:26:00Z</dcterms:modified>
</cp:coreProperties>
</file>