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9CBBA" w14:textId="77777777" w:rsidR="00612F2D" w:rsidRDefault="00612F2D" w:rsidP="00612F2D">
      <w:pPr>
        <w:jc w:val="center"/>
        <w:rPr>
          <w:rFonts w:ascii="Arial Narrow" w:hAnsi="Arial Narrow" w:cs="Tunga"/>
          <w:b/>
          <w:bCs/>
          <w:smallCaps/>
          <w:sz w:val="22"/>
          <w:szCs w:val="22"/>
        </w:rPr>
      </w:pPr>
      <w:bookmarkStart w:id="0" w:name="_GoBack"/>
      <w:bookmarkEnd w:id="0"/>
    </w:p>
    <w:p w14:paraId="3D09805A" w14:textId="77777777" w:rsidR="00612F2D" w:rsidRDefault="00612F2D" w:rsidP="00612F2D">
      <w:pPr>
        <w:jc w:val="center"/>
        <w:rPr>
          <w:rFonts w:ascii="Arial Narrow" w:hAnsi="Arial Narrow" w:cs="Tunga"/>
          <w:b/>
          <w:bCs/>
          <w:smallCaps/>
          <w:sz w:val="22"/>
          <w:szCs w:val="22"/>
        </w:rPr>
      </w:pPr>
    </w:p>
    <w:p w14:paraId="308DD81C" w14:textId="77777777" w:rsidR="00612F2D" w:rsidRPr="00AA6756" w:rsidRDefault="00612F2D" w:rsidP="00612F2D">
      <w:pPr>
        <w:jc w:val="center"/>
        <w:rPr>
          <w:rFonts w:ascii="Arial Narrow" w:hAnsi="Arial Narrow" w:cs="Tunga"/>
          <w:b/>
          <w:bCs/>
          <w:smallCaps/>
          <w:sz w:val="22"/>
          <w:szCs w:val="22"/>
        </w:rPr>
      </w:pPr>
      <w:r w:rsidRPr="00AA6756">
        <w:rPr>
          <w:rFonts w:ascii="Arial Narrow" w:hAnsi="Arial Narrow" w:cs="Tunga"/>
          <w:b/>
          <w:bCs/>
          <w:smallCaps/>
          <w:sz w:val="22"/>
          <w:szCs w:val="22"/>
        </w:rPr>
        <w:t>Bar Council of England and Wales</w:t>
      </w:r>
    </w:p>
    <w:p w14:paraId="4CA874BA" w14:textId="77777777" w:rsidR="00612F2D" w:rsidRPr="00AA6756" w:rsidRDefault="00612F2D" w:rsidP="00612F2D">
      <w:pPr>
        <w:jc w:val="center"/>
        <w:rPr>
          <w:rFonts w:ascii="Calibri" w:hAnsi="Calibri" w:cs="Tunga"/>
          <w:sz w:val="20"/>
          <w:szCs w:val="20"/>
        </w:rPr>
      </w:pPr>
    </w:p>
    <w:p w14:paraId="7592D324" w14:textId="77777777" w:rsidR="00612F2D" w:rsidRDefault="00612F2D" w:rsidP="00612F2D">
      <w:pPr>
        <w:jc w:val="center"/>
        <w:rPr>
          <w:rFonts w:ascii="Arial Narrow" w:hAnsi="Arial Narrow" w:cs="Tunga"/>
          <w:b/>
        </w:rPr>
      </w:pPr>
      <w:r>
        <w:rPr>
          <w:rFonts w:ascii="Arial Narrow" w:hAnsi="Arial Narrow" w:cs="Tunga"/>
          <w:b/>
        </w:rPr>
        <w:t>International Rule of Law Lecture 2016</w:t>
      </w:r>
    </w:p>
    <w:p w14:paraId="1CBB0889" w14:textId="77777777" w:rsidR="00612F2D" w:rsidRPr="00AA6756" w:rsidRDefault="00612F2D" w:rsidP="00612F2D">
      <w:pPr>
        <w:jc w:val="center"/>
        <w:rPr>
          <w:rFonts w:ascii="Arial Narrow" w:hAnsi="Arial Narrow" w:cs="Tunga"/>
          <w:i/>
          <w:sz w:val="16"/>
          <w:szCs w:val="16"/>
        </w:rPr>
      </w:pPr>
    </w:p>
    <w:p w14:paraId="4E433E5E" w14:textId="77777777" w:rsidR="00612F2D" w:rsidRPr="00BF3978" w:rsidRDefault="00612F2D" w:rsidP="00612F2D">
      <w:pPr>
        <w:jc w:val="center"/>
        <w:rPr>
          <w:rFonts w:ascii="Arial Narrow" w:hAnsi="Arial Narrow" w:cs="Tunga"/>
          <w:i/>
        </w:rPr>
      </w:pPr>
      <w:r w:rsidRPr="00BF3978">
        <w:rPr>
          <w:rFonts w:ascii="Arial Narrow" w:hAnsi="Arial Narrow" w:cs="Tunga"/>
          <w:i/>
        </w:rPr>
        <w:t>London, Temple Church – 28 November 2016</w:t>
      </w:r>
    </w:p>
    <w:p w14:paraId="04BC8ABF" w14:textId="77777777" w:rsidR="00612F2D" w:rsidRPr="00BF3978" w:rsidRDefault="00612F2D" w:rsidP="00612F2D">
      <w:pPr>
        <w:jc w:val="center"/>
        <w:rPr>
          <w:rFonts w:ascii="Arial Narrow" w:hAnsi="Arial Narrow" w:cs="Tunga"/>
          <w:b/>
          <w:sz w:val="20"/>
          <w:szCs w:val="20"/>
        </w:rPr>
      </w:pPr>
    </w:p>
    <w:p w14:paraId="502378C2" w14:textId="77777777" w:rsidR="00612F2D" w:rsidRPr="007B03F8" w:rsidRDefault="00612F2D" w:rsidP="00612F2D">
      <w:pPr>
        <w:jc w:val="center"/>
        <w:rPr>
          <w:rFonts w:ascii="Calibri" w:hAnsi="Calibri" w:cs="Tunga"/>
          <w:sz w:val="22"/>
          <w:szCs w:val="22"/>
        </w:rPr>
      </w:pPr>
      <w:r w:rsidRPr="007B03F8">
        <w:rPr>
          <w:rFonts w:ascii="Calibri" w:hAnsi="Calibri" w:cs="Tunga"/>
          <w:sz w:val="22"/>
          <w:szCs w:val="22"/>
        </w:rPr>
        <w:sym w:font="Symbol" w:char="F02A"/>
      </w:r>
      <w:r w:rsidRPr="007B03F8">
        <w:rPr>
          <w:rFonts w:ascii="Calibri" w:hAnsi="Calibri" w:cs="Tunga"/>
          <w:sz w:val="22"/>
          <w:szCs w:val="22"/>
        </w:rPr>
        <w:t xml:space="preserve"> </w:t>
      </w:r>
      <w:r w:rsidRPr="007B03F8">
        <w:rPr>
          <w:rFonts w:ascii="Calibri" w:hAnsi="Calibri" w:cs="Tunga"/>
          <w:sz w:val="22"/>
          <w:szCs w:val="22"/>
        </w:rPr>
        <w:sym w:font="Symbol" w:char="F02A"/>
      </w:r>
      <w:r w:rsidRPr="007B03F8">
        <w:rPr>
          <w:rFonts w:ascii="Calibri" w:hAnsi="Calibri" w:cs="Tunga"/>
          <w:sz w:val="22"/>
          <w:szCs w:val="22"/>
        </w:rPr>
        <w:t xml:space="preserve"> </w:t>
      </w:r>
      <w:r w:rsidRPr="007B03F8">
        <w:rPr>
          <w:rFonts w:ascii="Calibri" w:hAnsi="Calibri" w:cs="Tunga"/>
          <w:sz w:val="22"/>
          <w:szCs w:val="22"/>
        </w:rPr>
        <w:sym w:font="Symbol" w:char="F02A"/>
      </w:r>
    </w:p>
    <w:p w14:paraId="7BDC8D3B" w14:textId="77777777" w:rsidR="00612F2D" w:rsidRPr="007B03F8" w:rsidRDefault="00612F2D" w:rsidP="00612F2D">
      <w:pPr>
        <w:rPr>
          <w:rFonts w:ascii="Arial Narrow" w:hAnsi="Arial Narrow" w:cs="Tunga"/>
          <w:sz w:val="16"/>
          <w:szCs w:val="16"/>
        </w:rPr>
      </w:pPr>
    </w:p>
    <w:p w14:paraId="5722F9B5" w14:textId="77777777" w:rsidR="00612F2D" w:rsidRPr="007B03F8" w:rsidRDefault="00612F2D" w:rsidP="00612F2D">
      <w:pPr>
        <w:pBdr>
          <w:top w:val="double" w:sz="4" w:space="1" w:color="auto"/>
          <w:left w:val="double" w:sz="4" w:space="4" w:color="auto"/>
          <w:bottom w:val="double" w:sz="4" w:space="1" w:color="auto"/>
          <w:right w:val="double" w:sz="4" w:space="4" w:color="auto"/>
        </w:pBdr>
        <w:jc w:val="center"/>
        <w:rPr>
          <w:rFonts w:ascii="Arial Narrow" w:hAnsi="Arial Narrow" w:cs="Tunga"/>
          <w:b/>
        </w:rPr>
      </w:pPr>
      <w:r w:rsidRPr="007B03F8">
        <w:rPr>
          <w:rFonts w:ascii="Arial Narrow" w:hAnsi="Arial Narrow" w:cs="Tunga"/>
          <w:b/>
        </w:rPr>
        <w:t xml:space="preserve">Fundamental Rights </w:t>
      </w:r>
      <w:r>
        <w:rPr>
          <w:rFonts w:ascii="Arial Narrow" w:hAnsi="Arial Narrow" w:cs="Tunga"/>
          <w:b/>
        </w:rPr>
        <w:t>and State Security: Inseparable Allies</w:t>
      </w:r>
    </w:p>
    <w:p w14:paraId="73D27688" w14:textId="77777777" w:rsidR="00612F2D" w:rsidRPr="007B03F8" w:rsidRDefault="00612F2D" w:rsidP="00612F2D">
      <w:pPr>
        <w:rPr>
          <w:rFonts w:ascii="Arial Narrow" w:hAnsi="Arial Narrow" w:cs="Tunga"/>
          <w:sz w:val="16"/>
          <w:szCs w:val="16"/>
        </w:rPr>
      </w:pPr>
    </w:p>
    <w:p w14:paraId="6C1A412E" w14:textId="77777777" w:rsidR="00612F2D" w:rsidRPr="007B03F8" w:rsidRDefault="00612F2D" w:rsidP="00612F2D">
      <w:pPr>
        <w:jc w:val="center"/>
        <w:rPr>
          <w:rFonts w:ascii="Calibri" w:hAnsi="Calibri" w:cs="Tunga"/>
          <w:sz w:val="22"/>
          <w:szCs w:val="22"/>
        </w:rPr>
      </w:pPr>
      <w:r w:rsidRPr="007B03F8">
        <w:rPr>
          <w:rFonts w:ascii="Calibri" w:hAnsi="Calibri" w:cs="Tunga"/>
          <w:sz w:val="22"/>
          <w:szCs w:val="22"/>
        </w:rPr>
        <w:sym w:font="Symbol" w:char="F02A"/>
      </w:r>
      <w:r w:rsidRPr="007B03F8">
        <w:rPr>
          <w:rFonts w:ascii="Calibri" w:hAnsi="Calibri" w:cs="Tunga"/>
          <w:sz w:val="22"/>
          <w:szCs w:val="22"/>
        </w:rPr>
        <w:t xml:space="preserve"> </w:t>
      </w:r>
      <w:r w:rsidRPr="007B03F8">
        <w:rPr>
          <w:rFonts w:ascii="Calibri" w:hAnsi="Calibri" w:cs="Tunga"/>
          <w:sz w:val="22"/>
          <w:szCs w:val="22"/>
        </w:rPr>
        <w:sym w:font="Symbol" w:char="F02A"/>
      </w:r>
      <w:r w:rsidRPr="007B03F8">
        <w:rPr>
          <w:rFonts w:ascii="Calibri" w:hAnsi="Calibri" w:cs="Tunga"/>
          <w:sz w:val="22"/>
          <w:szCs w:val="22"/>
        </w:rPr>
        <w:t xml:space="preserve"> </w:t>
      </w:r>
      <w:r w:rsidRPr="007B03F8">
        <w:rPr>
          <w:rFonts w:ascii="Calibri" w:hAnsi="Calibri" w:cs="Tunga"/>
          <w:sz w:val="22"/>
          <w:szCs w:val="22"/>
        </w:rPr>
        <w:sym w:font="Symbol" w:char="F02A"/>
      </w:r>
    </w:p>
    <w:p w14:paraId="464372A1" w14:textId="77777777" w:rsidR="00612F2D" w:rsidRPr="007B03F8" w:rsidRDefault="00612F2D" w:rsidP="00612F2D">
      <w:pPr>
        <w:rPr>
          <w:rFonts w:ascii="Arial Narrow" w:hAnsi="Arial Narrow" w:cs="Tunga"/>
          <w:sz w:val="16"/>
          <w:szCs w:val="16"/>
        </w:rPr>
      </w:pPr>
    </w:p>
    <w:p w14:paraId="24915A24" w14:textId="77777777" w:rsidR="00612F2D" w:rsidRPr="007B03F8" w:rsidRDefault="00612F2D" w:rsidP="00612F2D">
      <w:pPr>
        <w:jc w:val="center"/>
        <w:rPr>
          <w:rFonts w:ascii="Arial Narrow" w:hAnsi="Arial Narrow" w:cs="Tunga"/>
        </w:rPr>
      </w:pPr>
      <w:r w:rsidRPr="007B03F8">
        <w:rPr>
          <w:rFonts w:ascii="Arial Narrow" w:hAnsi="Arial Narrow" w:cs="Tunga"/>
        </w:rPr>
        <w:t>Françoise Tulkens</w:t>
      </w:r>
    </w:p>
    <w:p w14:paraId="773BCDC6" w14:textId="77777777" w:rsidR="00612F2D" w:rsidRPr="007B03F8" w:rsidRDefault="00612F2D" w:rsidP="00612F2D">
      <w:pPr>
        <w:jc w:val="center"/>
        <w:rPr>
          <w:rFonts w:ascii="Arial Narrow" w:hAnsi="Arial Narrow" w:cs="Tunga"/>
          <w:sz w:val="20"/>
          <w:szCs w:val="20"/>
        </w:rPr>
      </w:pPr>
      <w:r>
        <w:rPr>
          <w:rFonts w:ascii="Arial Narrow" w:hAnsi="Arial Narrow" w:cs="Tunga"/>
          <w:sz w:val="20"/>
          <w:szCs w:val="20"/>
        </w:rPr>
        <w:t>Former Judge and Vice-President of the European Court of Human Rights</w:t>
      </w:r>
    </w:p>
    <w:p w14:paraId="4C5215B2" w14:textId="77777777" w:rsidR="00612F2D" w:rsidRPr="007B03F8" w:rsidRDefault="00612F2D" w:rsidP="00612F2D">
      <w:pPr>
        <w:jc w:val="center"/>
        <w:rPr>
          <w:rFonts w:ascii="Arial Narrow" w:hAnsi="Arial Narrow" w:cs="Tunga"/>
          <w:sz w:val="20"/>
          <w:szCs w:val="20"/>
        </w:rPr>
      </w:pPr>
      <w:r>
        <w:rPr>
          <w:rFonts w:ascii="Arial Narrow" w:hAnsi="Arial Narrow" w:cs="Tunga"/>
          <w:sz w:val="20"/>
          <w:szCs w:val="20"/>
        </w:rPr>
        <w:t xml:space="preserve">Associate Member of the </w:t>
      </w:r>
      <w:r>
        <w:rPr>
          <w:rFonts w:ascii="Arial Narrow" w:hAnsi="Arial Narrow" w:cs="Tunga"/>
          <w:i/>
          <w:sz w:val="20"/>
          <w:szCs w:val="20"/>
        </w:rPr>
        <w:t>Académie R</w:t>
      </w:r>
      <w:r w:rsidRPr="007B03F8">
        <w:rPr>
          <w:rFonts w:ascii="Arial Narrow" w:hAnsi="Arial Narrow" w:cs="Tunga"/>
          <w:i/>
          <w:sz w:val="20"/>
          <w:szCs w:val="20"/>
        </w:rPr>
        <w:t>oyale de Belgique</w:t>
      </w:r>
    </w:p>
    <w:p w14:paraId="041735BE" w14:textId="77777777" w:rsidR="00612F2D" w:rsidRPr="007B03F8" w:rsidRDefault="00612F2D" w:rsidP="00612F2D">
      <w:pPr>
        <w:jc w:val="center"/>
        <w:rPr>
          <w:rFonts w:ascii="Arial Narrow" w:hAnsi="Arial Narrow" w:cs="Tunga"/>
          <w:sz w:val="16"/>
          <w:szCs w:val="16"/>
        </w:rPr>
      </w:pPr>
    </w:p>
    <w:p w14:paraId="097578F8" w14:textId="77777777" w:rsidR="00612F2D" w:rsidRPr="007B03F8" w:rsidRDefault="00612F2D" w:rsidP="00612F2D">
      <w:pPr>
        <w:jc w:val="center"/>
        <w:rPr>
          <w:rFonts w:ascii="Calibri" w:hAnsi="Calibri" w:cs="Tunga"/>
          <w:sz w:val="22"/>
          <w:szCs w:val="22"/>
        </w:rPr>
      </w:pPr>
      <w:r w:rsidRPr="007B03F8">
        <w:rPr>
          <w:rFonts w:ascii="Calibri" w:hAnsi="Calibri" w:cs="Tunga"/>
          <w:sz w:val="22"/>
          <w:szCs w:val="22"/>
        </w:rPr>
        <w:sym w:font="Symbol" w:char="F02A"/>
      </w:r>
      <w:r w:rsidRPr="007B03F8">
        <w:rPr>
          <w:rFonts w:ascii="Calibri" w:hAnsi="Calibri" w:cs="Tunga"/>
          <w:sz w:val="22"/>
          <w:szCs w:val="22"/>
        </w:rPr>
        <w:t xml:space="preserve"> </w:t>
      </w:r>
      <w:r w:rsidRPr="007B03F8">
        <w:rPr>
          <w:rFonts w:ascii="Calibri" w:hAnsi="Calibri" w:cs="Tunga"/>
          <w:sz w:val="22"/>
          <w:szCs w:val="22"/>
        </w:rPr>
        <w:sym w:font="Symbol" w:char="F02A"/>
      </w:r>
      <w:r w:rsidRPr="007B03F8">
        <w:rPr>
          <w:rFonts w:ascii="Calibri" w:hAnsi="Calibri" w:cs="Tunga"/>
          <w:sz w:val="22"/>
          <w:szCs w:val="22"/>
        </w:rPr>
        <w:t xml:space="preserve"> </w:t>
      </w:r>
      <w:r w:rsidRPr="007B03F8">
        <w:rPr>
          <w:rFonts w:ascii="Calibri" w:hAnsi="Calibri" w:cs="Tunga"/>
          <w:sz w:val="22"/>
          <w:szCs w:val="22"/>
        </w:rPr>
        <w:sym w:font="Symbol" w:char="F02A"/>
      </w:r>
    </w:p>
    <w:p w14:paraId="7AAE6562" w14:textId="77777777" w:rsidR="00612F2D" w:rsidRPr="007B03F8" w:rsidRDefault="00612F2D" w:rsidP="00612F2D">
      <w:pPr>
        <w:spacing w:line="480" w:lineRule="auto"/>
        <w:jc w:val="both"/>
        <w:rPr>
          <w:rFonts w:ascii="Arial Narrow" w:hAnsi="Arial Narrow" w:cs="Tunga"/>
        </w:rPr>
      </w:pPr>
    </w:p>
    <w:p w14:paraId="0F744FA6" w14:textId="63BDF6E3" w:rsidR="00612F2D" w:rsidRPr="007B03F8" w:rsidRDefault="00612F2D" w:rsidP="00612F2D">
      <w:pPr>
        <w:tabs>
          <w:tab w:val="left" w:pos="567"/>
        </w:tabs>
        <w:spacing w:line="480" w:lineRule="auto"/>
        <w:jc w:val="both"/>
        <w:rPr>
          <w:rFonts w:ascii="Arial Narrow" w:hAnsi="Arial Narrow"/>
        </w:rPr>
      </w:pPr>
      <w:r w:rsidRPr="007B03F8">
        <w:rPr>
          <w:rFonts w:ascii="Arial Narrow" w:hAnsi="Arial Narrow"/>
        </w:rPr>
        <w:tab/>
        <w:t xml:space="preserve">1.  I would like to begin by saying that I am very grateful to </w:t>
      </w:r>
      <w:r>
        <w:rPr>
          <w:rFonts w:ascii="Arial Narrow" w:hAnsi="Arial Narrow"/>
        </w:rPr>
        <w:t>the Bar Council</w:t>
      </w:r>
      <w:r w:rsidRPr="007B03F8">
        <w:rPr>
          <w:rFonts w:ascii="Arial Narrow" w:hAnsi="Arial Narrow"/>
        </w:rPr>
        <w:t xml:space="preserve"> </w:t>
      </w:r>
      <w:r>
        <w:rPr>
          <w:rFonts w:ascii="Arial Narrow" w:hAnsi="Arial Narrow"/>
        </w:rPr>
        <w:t xml:space="preserve">of England and Wales </w:t>
      </w:r>
      <w:r w:rsidRPr="007B03F8">
        <w:rPr>
          <w:rFonts w:ascii="Arial Narrow" w:hAnsi="Arial Narrow"/>
        </w:rPr>
        <w:t xml:space="preserve">for this invitation. It is </w:t>
      </w:r>
      <w:r>
        <w:rPr>
          <w:rFonts w:ascii="Arial Narrow" w:hAnsi="Arial Narrow"/>
        </w:rPr>
        <w:t xml:space="preserve">not only </w:t>
      </w:r>
      <w:r w:rsidRPr="007B03F8">
        <w:rPr>
          <w:rFonts w:ascii="Arial Narrow" w:hAnsi="Arial Narrow"/>
        </w:rPr>
        <w:t xml:space="preserve">an honour </w:t>
      </w:r>
      <w:r>
        <w:rPr>
          <w:rFonts w:ascii="Arial Narrow" w:hAnsi="Arial Narrow"/>
        </w:rPr>
        <w:t>but also</w:t>
      </w:r>
      <w:r w:rsidRPr="007B03F8">
        <w:rPr>
          <w:rFonts w:ascii="Arial Narrow" w:hAnsi="Arial Narrow"/>
        </w:rPr>
        <w:t xml:space="preserve"> a</w:t>
      </w:r>
      <w:r>
        <w:rPr>
          <w:rFonts w:ascii="Arial Narrow" w:hAnsi="Arial Narrow"/>
        </w:rPr>
        <w:t xml:space="preserve"> great</w:t>
      </w:r>
      <w:r w:rsidRPr="007B03F8">
        <w:rPr>
          <w:rFonts w:ascii="Arial Narrow" w:hAnsi="Arial Narrow"/>
        </w:rPr>
        <w:t xml:space="preserve"> pleasure to </w:t>
      </w:r>
      <w:r>
        <w:rPr>
          <w:rFonts w:ascii="Arial Narrow" w:hAnsi="Arial Narrow"/>
        </w:rPr>
        <w:t>deliver the 10</w:t>
      </w:r>
      <w:r w:rsidRPr="00E21AE5">
        <w:rPr>
          <w:rFonts w:ascii="Arial Narrow" w:hAnsi="Arial Narrow"/>
          <w:vertAlign w:val="superscript"/>
        </w:rPr>
        <w:t>th</w:t>
      </w:r>
      <w:r>
        <w:rPr>
          <w:rFonts w:ascii="Arial Narrow" w:hAnsi="Arial Narrow"/>
        </w:rPr>
        <w:t xml:space="preserve"> International Rule of Law Lecture</w:t>
      </w:r>
      <w:r w:rsidR="008D4FE1">
        <w:rPr>
          <w:rFonts w:ascii="Arial Narrow" w:hAnsi="Arial Narrow"/>
        </w:rPr>
        <w:t>, especially in this prestigious venue which was of central importance to the</w:t>
      </w:r>
      <w:r w:rsidR="00E51D49">
        <w:rPr>
          <w:rFonts w:ascii="Arial Narrow" w:hAnsi="Arial Narrow"/>
        </w:rPr>
        <w:t xml:space="preserve"> drafting</w:t>
      </w:r>
      <w:r w:rsidR="008D4FE1">
        <w:rPr>
          <w:rFonts w:ascii="Arial Narrow" w:hAnsi="Arial Narrow"/>
        </w:rPr>
        <w:t xml:space="preserve"> of the Magna Carta</w:t>
      </w:r>
      <w:r w:rsidRPr="007B03F8">
        <w:rPr>
          <w:rFonts w:ascii="Arial Narrow" w:hAnsi="Arial Narrow"/>
        </w:rPr>
        <w:t xml:space="preserve">. </w:t>
      </w:r>
    </w:p>
    <w:p w14:paraId="7C204E1F" w14:textId="77777777" w:rsidR="00612F2D" w:rsidRPr="007B03F8" w:rsidRDefault="00612F2D" w:rsidP="00612F2D">
      <w:pPr>
        <w:tabs>
          <w:tab w:val="left" w:pos="567"/>
        </w:tabs>
        <w:spacing w:line="480" w:lineRule="auto"/>
        <w:jc w:val="both"/>
        <w:rPr>
          <w:rFonts w:ascii="Arial Narrow" w:hAnsi="Arial Narrow"/>
        </w:rPr>
      </w:pPr>
    </w:p>
    <w:p w14:paraId="6C85A06A" w14:textId="2BCC01B1"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cs="Arial Narrow"/>
          <w:lang w:eastAsia="fr-FR"/>
        </w:rPr>
        <w:tab/>
      </w:r>
      <w:r w:rsidR="008D4FE1">
        <w:rPr>
          <w:rFonts w:ascii="Arial Narrow" w:hAnsi="Arial Narrow"/>
        </w:rPr>
        <w:t>2</w:t>
      </w:r>
      <w:r w:rsidRPr="007B03F8">
        <w:rPr>
          <w:rFonts w:ascii="Arial Narrow" w:hAnsi="Arial Narrow"/>
        </w:rPr>
        <w:t>.  </w:t>
      </w:r>
      <w:r>
        <w:rPr>
          <w:rFonts w:ascii="Arial Narrow" w:hAnsi="Arial Narrow"/>
        </w:rPr>
        <w:t>Today, for a variety of good and bad reasons, security issues have become or have again become pervasive at the national, European and international levels. This is obvious. But it is also clear that measures announced or adopted by Sates or organisations can raise unique and difficult questions in terms of respect of fundamental rights</w:t>
      </w:r>
      <w:r w:rsidRPr="007B03F8">
        <w:rPr>
          <w:rFonts w:ascii="Arial Narrow" w:hAnsi="Arial Narrow"/>
        </w:rPr>
        <w:t xml:space="preserve">. </w:t>
      </w:r>
    </w:p>
    <w:p w14:paraId="5D67FD2A" w14:textId="77777777" w:rsidR="00895297" w:rsidRPr="007B03F8" w:rsidRDefault="00895297" w:rsidP="00895297">
      <w:pPr>
        <w:tabs>
          <w:tab w:val="left" w:pos="567"/>
        </w:tabs>
        <w:spacing w:line="480" w:lineRule="auto"/>
        <w:jc w:val="both"/>
        <w:rPr>
          <w:rFonts w:ascii="Arial Narrow" w:hAnsi="Arial Narrow"/>
        </w:rPr>
      </w:pPr>
    </w:p>
    <w:p w14:paraId="79681B6E" w14:textId="6C0DEA6B"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rPr>
        <w:tab/>
      </w:r>
      <w:r w:rsidR="008D4FE1">
        <w:rPr>
          <w:rFonts w:ascii="Arial Narrow" w:hAnsi="Arial Narrow"/>
        </w:rPr>
        <w:t>3</w:t>
      </w:r>
      <w:r w:rsidRPr="007B03F8">
        <w:rPr>
          <w:rFonts w:ascii="Arial Narrow" w:hAnsi="Arial Narrow"/>
        </w:rPr>
        <w:t>.  </w:t>
      </w:r>
      <w:r>
        <w:rPr>
          <w:rFonts w:ascii="Arial Narrow" w:hAnsi="Arial Narrow"/>
        </w:rPr>
        <w:t xml:space="preserve">It seems to me more and more that the opposition between fundamental rights’ requirements and security requirements is an appearance, an appearance the main function of which is to classify the positions of the various parties considered as enemies in separate camps. Yet, the opposition between the realists and the idealists, between the pragmatists and the laxists, between the responsible and the irresponsible, is radically </w:t>
      </w:r>
      <w:r w:rsidRPr="003871F8">
        <w:rPr>
          <w:rFonts w:ascii="Arial Narrow" w:hAnsi="Arial Narrow"/>
        </w:rPr>
        <w:t xml:space="preserve">false. Seeking security while ensuring respect – </w:t>
      </w:r>
      <w:r>
        <w:rPr>
          <w:rFonts w:ascii="Arial Narrow" w:hAnsi="Arial Narrow"/>
        </w:rPr>
        <w:t xml:space="preserve">and an </w:t>
      </w:r>
      <w:r w:rsidRPr="003871F8">
        <w:rPr>
          <w:rFonts w:ascii="Arial Narrow" w:hAnsi="Arial Narrow"/>
        </w:rPr>
        <w:t xml:space="preserve">informed respect – </w:t>
      </w:r>
      <w:r w:rsidRPr="003871F8">
        <w:rPr>
          <w:rFonts w:ascii="Arial Narrow" w:hAnsi="Arial Narrow"/>
        </w:rPr>
        <w:lastRenderedPageBreak/>
        <w:t>for</w:t>
      </w:r>
      <w:r w:rsidR="00A3118A">
        <w:rPr>
          <w:rFonts w:ascii="Arial Narrow" w:hAnsi="Arial Narrow"/>
        </w:rPr>
        <w:t> </w:t>
      </w:r>
      <w:r w:rsidRPr="003871F8">
        <w:rPr>
          <w:rFonts w:ascii="Arial Narrow" w:hAnsi="Arial Narrow"/>
        </w:rPr>
        <w:t>human rights is a guarantee of efficiency; conversely, security</w:t>
      </w:r>
      <w:r>
        <w:rPr>
          <w:rFonts w:ascii="Arial Narrow" w:hAnsi="Arial Narrow"/>
        </w:rPr>
        <w:t xml:space="preserve"> at the expense of human rights is an illusion. Ultimately</w:t>
      </w:r>
      <w:r w:rsidRPr="007B03F8">
        <w:rPr>
          <w:rFonts w:ascii="Arial Narrow" w:hAnsi="Arial Narrow"/>
        </w:rPr>
        <w:t>,</w:t>
      </w:r>
      <w:r>
        <w:rPr>
          <w:rFonts w:ascii="Arial Narrow" w:hAnsi="Arial Narrow"/>
        </w:rPr>
        <w:t xml:space="preserve"> counter-terrorism is not conducted against the law but with the law. </w:t>
      </w:r>
    </w:p>
    <w:p w14:paraId="298CB40B" w14:textId="77777777" w:rsidR="00895297" w:rsidRPr="007B03F8" w:rsidRDefault="00895297" w:rsidP="00895297">
      <w:pPr>
        <w:tabs>
          <w:tab w:val="left" w:pos="567"/>
        </w:tabs>
        <w:spacing w:line="480" w:lineRule="auto"/>
        <w:jc w:val="both"/>
        <w:rPr>
          <w:rFonts w:ascii="Arial Narrow" w:hAnsi="Arial Narrow"/>
        </w:rPr>
      </w:pPr>
    </w:p>
    <w:p w14:paraId="15E3CE2F" w14:textId="28113F1B"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rPr>
        <w:tab/>
      </w:r>
      <w:r w:rsidR="008D4FE1">
        <w:rPr>
          <w:rFonts w:ascii="Arial Narrow" w:hAnsi="Arial Narrow"/>
        </w:rPr>
        <w:t>4</w:t>
      </w:r>
      <w:r w:rsidRPr="007B03F8">
        <w:rPr>
          <w:rFonts w:ascii="Arial Narrow" w:hAnsi="Arial Narrow"/>
        </w:rPr>
        <w:t>.  </w:t>
      </w:r>
      <w:r>
        <w:rPr>
          <w:rFonts w:ascii="Arial Narrow" w:hAnsi="Arial Narrow"/>
        </w:rPr>
        <w:t>In this</w:t>
      </w:r>
      <w:r w:rsidRPr="007B03F8">
        <w:rPr>
          <w:rFonts w:ascii="Arial Narrow" w:hAnsi="Arial Narrow"/>
        </w:rPr>
        <w:t xml:space="preserve"> perspective,</w:t>
      </w:r>
      <w:r>
        <w:rPr>
          <w:rFonts w:ascii="Arial Narrow" w:hAnsi="Arial Narrow"/>
        </w:rPr>
        <w:t xml:space="preserve"> I think that we should favour complex thought and avoid the false simplicity of obvious concepts</w:t>
      </w:r>
      <w:r w:rsidRPr="007B03F8">
        <w:rPr>
          <w:rFonts w:ascii="Arial Narrow" w:hAnsi="Arial Narrow"/>
        </w:rPr>
        <w:t>.</w:t>
      </w:r>
      <w:r>
        <w:rPr>
          <w:rFonts w:ascii="Arial Narrow" w:hAnsi="Arial Narrow"/>
        </w:rPr>
        <w:t xml:space="preserve"> I will try to show that the </w:t>
      </w:r>
      <w:r w:rsidRPr="007B03F8">
        <w:rPr>
          <w:rFonts w:ascii="Arial Narrow" w:hAnsi="Arial Narrow"/>
        </w:rPr>
        <w:t>obligation</w:t>
      </w:r>
      <w:r>
        <w:rPr>
          <w:rFonts w:ascii="Arial Narrow" w:hAnsi="Arial Narrow"/>
        </w:rPr>
        <w:t xml:space="preserve"> to fight terrorism is certainly an obligation </w:t>
      </w:r>
      <w:r w:rsidRPr="007B03F8">
        <w:rPr>
          <w:rFonts w:ascii="Arial Narrow" w:hAnsi="Arial Narrow"/>
        </w:rPr>
        <w:t>(</w:t>
      </w:r>
      <w:r w:rsidRPr="007B03F8">
        <w:rPr>
          <w:rFonts w:ascii="Arial Narrow" w:hAnsi="Arial Narrow"/>
          <w:b/>
        </w:rPr>
        <w:t>2</w:t>
      </w:r>
      <w:r w:rsidRPr="007B03F8">
        <w:rPr>
          <w:rFonts w:ascii="Arial Narrow" w:hAnsi="Arial Narrow"/>
        </w:rPr>
        <w:t xml:space="preserve">) </w:t>
      </w:r>
      <w:r>
        <w:rPr>
          <w:rFonts w:ascii="Arial Narrow" w:hAnsi="Arial Narrow"/>
        </w:rPr>
        <w:t xml:space="preserve">but that this obligation is inseparable from the obligation to respect human rights </w:t>
      </w:r>
      <w:r w:rsidRPr="007B03F8">
        <w:rPr>
          <w:rFonts w:ascii="Arial Narrow" w:hAnsi="Arial Narrow"/>
        </w:rPr>
        <w:t>(</w:t>
      </w:r>
      <w:r w:rsidRPr="007B03F8">
        <w:rPr>
          <w:rFonts w:ascii="Arial Narrow" w:hAnsi="Arial Narrow"/>
          <w:b/>
        </w:rPr>
        <w:t>3</w:t>
      </w:r>
      <w:r w:rsidRPr="007B03F8">
        <w:rPr>
          <w:rFonts w:ascii="Arial Narrow" w:hAnsi="Arial Narrow"/>
        </w:rPr>
        <w:t xml:space="preserve">). </w:t>
      </w:r>
      <w:r w:rsidR="00E410C3">
        <w:rPr>
          <w:rFonts w:ascii="Arial Narrow" w:hAnsi="Arial Narrow"/>
        </w:rPr>
        <w:t>In fact we are faced with a double “c</w:t>
      </w:r>
      <w:r w:rsidR="00E410C3" w:rsidRPr="00E410C3">
        <w:rPr>
          <w:rFonts w:ascii="Arial Narrow" w:hAnsi="Arial Narrow"/>
        </w:rPr>
        <w:t>ategorical imperative</w:t>
      </w:r>
      <w:r w:rsidR="00E410C3">
        <w:rPr>
          <w:rFonts w:ascii="Arial Narrow" w:hAnsi="Arial Narrow"/>
        </w:rPr>
        <w:t xml:space="preserve">, to borrow Immanuel Kant’s analysis. </w:t>
      </w:r>
      <w:r>
        <w:rPr>
          <w:rFonts w:ascii="Arial Narrow" w:hAnsi="Arial Narrow"/>
        </w:rPr>
        <w:t>I will then present the</w:t>
      </w:r>
      <w:r w:rsidRPr="007B03F8">
        <w:rPr>
          <w:rFonts w:ascii="Arial Narrow" w:hAnsi="Arial Narrow"/>
        </w:rPr>
        <w:t> </w:t>
      </w:r>
      <w:r>
        <w:rPr>
          <w:rFonts w:ascii="Arial Narrow" w:hAnsi="Arial Narrow"/>
        </w:rPr>
        <w:t>condition</w:t>
      </w:r>
      <w:r w:rsidR="008113A8">
        <w:rPr>
          <w:rFonts w:ascii="Arial Narrow" w:hAnsi="Arial Narrow"/>
        </w:rPr>
        <w:t xml:space="preserve">s and methods for reconciling </w:t>
      </w:r>
      <w:r>
        <w:rPr>
          <w:rFonts w:ascii="Arial Narrow" w:hAnsi="Arial Narrow"/>
        </w:rPr>
        <w:t xml:space="preserve">these obligations in the jurisprudence of the European Court of Human Rights </w:t>
      </w:r>
      <w:r w:rsidRPr="007B03F8">
        <w:rPr>
          <w:rFonts w:ascii="Arial Narrow" w:hAnsi="Arial Narrow"/>
        </w:rPr>
        <w:t>(</w:t>
      </w:r>
      <w:r w:rsidRPr="007B03F8">
        <w:rPr>
          <w:rFonts w:ascii="Arial Narrow" w:hAnsi="Arial Narrow"/>
          <w:b/>
        </w:rPr>
        <w:t>4</w:t>
      </w:r>
      <w:r w:rsidRPr="007B03F8">
        <w:rPr>
          <w:rFonts w:ascii="Arial Narrow" w:hAnsi="Arial Narrow"/>
        </w:rPr>
        <w:t>).</w:t>
      </w:r>
      <w:r>
        <w:rPr>
          <w:rFonts w:ascii="Arial Narrow" w:hAnsi="Arial Narrow"/>
        </w:rPr>
        <w:t xml:space="preserve"> But, to understand the importance and the stakes at play in the relationships between terrorism and human rights, I think that they have to be seen in </w:t>
      </w:r>
      <w:r w:rsidR="00E91C31">
        <w:rPr>
          <w:rFonts w:ascii="Arial Narrow" w:hAnsi="Arial Narrow"/>
        </w:rPr>
        <w:t>the context of t</w:t>
      </w:r>
      <w:r>
        <w:rPr>
          <w:rFonts w:ascii="Arial Narrow" w:hAnsi="Arial Narrow"/>
        </w:rPr>
        <w:t xml:space="preserve">he requirements of the rule of law </w:t>
      </w:r>
      <w:r w:rsidRPr="007B03F8">
        <w:rPr>
          <w:rFonts w:ascii="Arial Narrow" w:hAnsi="Arial Narrow"/>
        </w:rPr>
        <w:t>(</w:t>
      </w:r>
      <w:r w:rsidRPr="007B03F8">
        <w:rPr>
          <w:rFonts w:ascii="Arial Narrow" w:hAnsi="Arial Narrow"/>
          <w:b/>
        </w:rPr>
        <w:t>1</w:t>
      </w:r>
      <w:r w:rsidRPr="007B03F8">
        <w:rPr>
          <w:rFonts w:ascii="Arial Narrow" w:hAnsi="Arial Narrow"/>
        </w:rPr>
        <w:t>)</w:t>
      </w:r>
      <w:r>
        <w:rPr>
          <w:rFonts w:ascii="Arial Narrow" w:hAnsi="Arial Narrow"/>
        </w:rPr>
        <w:t xml:space="preserve"> and I will start with that</w:t>
      </w:r>
      <w:r w:rsidRPr="007B03F8">
        <w:rPr>
          <w:rFonts w:ascii="Arial Narrow" w:hAnsi="Arial Narrow"/>
        </w:rPr>
        <w:t>.</w:t>
      </w:r>
    </w:p>
    <w:p w14:paraId="5F699FCA" w14:textId="77777777" w:rsidR="00895297" w:rsidRPr="007B03F8" w:rsidRDefault="00895297" w:rsidP="00895297">
      <w:pPr>
        <w:tabs>
          <w:tab w:val="left" w:pos="567"/>
        </w:tabs>
        <w:spacing w:line="480" w:lineRule="auto"/>
        <w:jc w:val="both"/>
        <w:rPr>
          <w:rFonts w:ascii="Arial Narrow" w:hAnsi="Arial Narrow"/>
        </w:rPr>
      </w:pPr>
    </w:p>
    <w:p w14:paraId="7223E37E" w14:textId="77777777" w:rsidR="00895297" w:rsidRPr="007B03F8" w:rsidRDefault="00895297" w:rsidP="00895297">
      <w:pPr>
        <w:tabs>
          <w:tab w:val="left" w:pos="567"/>
          <w:tab w:val="left" w:pos="851"/>
        </w:tabs>
        <w:spacing w:line="480" w:lineRule="auto"/>
        <w:jc w:val="both"/>
        <w:rPr>
          <w:rFonts w:ascii="Arial Narrow" w:hAnsi="Arial Narrow"/>
          <w:b/>
        </w:rPr>
      </w:pPr>
      <w:r w:rsidRPr="007B03F8">
        <w:rPr>
          <w:rFonts w:ascii="Arial Narrow" w:hAnsi="Arial Narrow"/>
        </w:rPr>
        <w:tab/>
      </w:r>
      <w:r w:rsidRPr="007B03F8">
        <w:rPr>
          <w:rFonts w:ascii="Arial Narrow" w:hAnsi="Arial Narrow"/>
          <w:b/>
        </w:rPr>
        <w:t>1.</w:t>
      </w:r>
      <w:r w:rsidRPr="007B03F8">
        <w:rPr>
          <w:rFonts w:ascii="Arial Narrow" w:hAnsi="Arial Narrow"/>
          <w:b/>
        </w:rPr>
        <w:tab/>
      </w:r>
      <w:r>
        <w:rPr>
          <w:rFonts w:ascii="Arial Narrow" w:hAnsi="Arial Narrow"/>
          <w:b/>
        </w:rPr>
        <w:t>The rule of law</w:t>
      </w:r>
    </w:p>
    <w:p w14:paraId="65DB542E" w14:textId="77777777" w:rsidR="00895297" w:rsidRPr="007B03F8" w:rsidRDefault="00895297" w:rsidP="00895297">
      <w:pPr>
        <w:tabs>
          <w:tab w:val="left" w:pos="567"/>
        </w:tabs>
        <w:spacing w:line="480" w:lineRule="auto"/>
        <w:jc w:val="both"/>
        <w:rPr>
          <w:rFonts w:ascii="Arial Narrow" w:hAnsi="Arial Narrow"/>
        </w:rPr>
      </w:pPr>
    </w:p>
    <w:p w14:paraId="2A3948D8" w14:textId="06C765F0"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rPr>
        <w:tab/>
      </w:r>
      <w:r w:rsidR="008D4FE1">
        <w:rPr>
          <w:rFonts w:ascii="Arial Narrow" w:hAnsi="Arial Narrow"/>
        </w:rPr>
        <w:t>5</w:t>
      </w:r>
      <w:r w:rsidRPr="007B03F8">
        <w:rPr>
          <w:rFonts w:ascii="Arial Narrow" w:hAnsi="Arial Narrow"/>
        </w:rPr>
        <w:t>.  </w:t>
      </w:r>
      <w:r>
        <w:rPr>
          <w:rFonts w:ascii="Arial Narrow" w:hAnsi="Arial Narrow"/>
        </w:rPr>
        <w:t xml:space="preserve">In the current political debate, </w:t>
      </w:r>
      <w:r w:rsidR="00E91C31">
        <w:rPr>
          <w:rFonts w:ascii="Arial Narrow" w:hAnsi="Arial Narrow"/>
        </w:rPr>
        <w:t xml:space="preserve">at least in continental Europe, </w:t>
      </w:r>
      <w:r>
        <w:rPr>
          <w:rFonts w:ascii="Arial Narrow" w:hAnsi="Arial Narrow"/>
        </w:rPr>
        <w:t>the rule of law is repeatedly invoked</w:t>
      </w:r>
      <w:r w:rsidRPr="007B03F8">
        <w:rPr>
          <w:rFonts w:ascii="Arial Narrow" w:hAnsi="Arial Narrow"/>
        </w:rPr>
        <w:t>,</w:t>
      </w:r>
      <w:r>
        <w:rPr>
          <w:rFonts w:ascii="Arial Narrow" w:hAnsi="Arial Narrow"/>
        </w:rPr>
        <w:t xml:space="preserve"> in very different contexts and situations, with the risk of becoming an “impossible” concept</w:t>
      </w:r>
      <w:r w:rsidRPr="007B03F8">
        <w:rPr>
          <w:rStyle w:val="FootnoteReference"/>
          <w:rFonts w:ascii="Arial Narrow" w:hAnsi="Arial Narrow"/>
        </w:rPr>
        <w:footnoteReference w:id="1"/>
      </w:r>
      <w:r w:rsidRPr="007B03F8">
        <w:rPr>
          <w:rFonts w:ascii="Arial Narrow" w:hAnsi="Arial Narrow"/>
        </w:rPr>
        <w:t>,</w:t>
      </w:r>
      <w:r>
        <w:rPr>
          <w:rFonts w:ascii="Arial Narrow" w:hAnsi="Arial Narrow"/>
        </w:rPr>
        <w:t xml:space="preserve"> even a “catch-all” concept</w:t>
      </w:r>
      <w:r w:rsidR="008D4FE1">
        <w:rPr>
          <w:rFonts w:ascii="Arial Narrow" w:hAnsi="Arial Narrow"/>
        </w:rPr>
        <w:t xml:space="preserve"> (</w:t>
      </w:r>
      <w:r w:rsidR="008D4FE1" w:rsidRPr="008D4FE1">
        <w:rPr>
          <w:rFonts w:ascii="Arial Narrow" w:hAnsi="Arial Narrow"/>
          <w:i/>
        </w:rPr>
        <w:t>un concept fourre-tout</w:t>
      </w:r>
      <w:r w:rsidR="008D4FE1">
        <w:rPr>
          <w:rFonts w:ascii="Arial Narrow" w:hAnsi="Arial Narrow"/>
        </w:rPr>
        <w:t>)</w:t>
      </w:r>
      <w:r w:rsidRPr="007B03F8">
        <w:rPr>
          <w:rFonts w:ascii="Arial Narrow" w:hAnsi="Arial Narrow"/>
        </w:rPr>
        <w:t xml:space="preserve">. </w:t>
      </w:r>
      <w:r>
        <w:rPr>
          <w:rFonts w:ascii="Arial Narrow" w:hAnsi="Arial Narrow"/>
        </w:rPr>
        <w:t>But, at the same time, and this is fairly new</w:t>
      </w:r>
      <w:r w:rsidRPr="007B03F8">
        <w:rPr>
          <w:rFonts w:ascii="Arial Narrow" w:hAnsi="Arial Narrow"/>
        </w:rPr>
        <w:t>,</w:t>
      </w:r>
      <w:r>
        <w:rPr>
          <w:rFonts w:ascii="Arial Narrow" w:hAnsi="Arial Narrow"/>
        </w:rPr>
        <w:t xml:space="preserve"> some do no longer hesitate today to assert</w:t>
      </w:r>
      <w:r w:rsidRPr="007B03F8">
        <w:rPr>
          <w:rFonts w:ascii="Arial Narrow" w:hAnsi="Arial Narrow"/>
        </w:rPr>
        <w:t xml:space="preserve"> </w:t>
      </w:r>
      <w:r>
        <w:rPr>
          <w:rFonts w:ascii="Arial Narrow" w:hAnsi="Arial Narrow"/>
        </w:rPr>
        <w:t xml:space="preserve">that it is a “matter of legal quibbling” </w:t>
      </w:r>
      <w:r w:rsidR="00E410C3" w:rsidRPr="00E410C3">
        <w:rPr>
          <w:rFonts w:ascii="Arial Narrow" w:hAnsi="Arial Narrow"/>
          <w:i/>
        </w:rPr>
        <w:t>(une “argutie juridique”</w:t>
      </w:r>
      <w:r w:rsidR="00E410C3">
        <w:rPr>
          <w:rFonts w:ascii="Arial Narrow" w:hAnsi="Arial Narrow"/>
        </w:rPr>
        <w:t xml:space="preserve">) </w:t>
      </w:r>
      <w:r>
        <w:rPr>
          <w:rFonts w:ascii="Arial Narrow" w:hAnsi="Arial Narrow"/>
        </w:rPr>
        <w:t>and to criticize the rule of law is becoming an acceptable</w:t>
      </w:r>
      <w:r w:rsidR="008D4FE1">
        <w:rPr>
          <w:rFonts w:ascii="Arial Narrow" w:hAnsi="Arial Narrow"/>
        </w:rPr>
        <w:t>, even trendy,</w:t>
      </w:r>
      <w:r>
        <w:rPr>
          <w:rFonts w:ascii="Arial Narrow" w:hAnsi="Arial Narrow"/>
        </w:rPr>
        <w:t xml:space="preserve"> posture</w:t>
      </w:r>
      <w:r w:rsidRPr="007B03F8">
        <w:rPr>
          <w:rFonts w:ascii="Arial Narrow" w:hAnsi="Arial Narrow"/>
        </w:rPr>
        <w:t xml:space="preserve">. </w:t>
      </w:r>
      <w:r>
        <w:rPr>
          <w:rFonts w:ascii="Arial Narrow" w:hAnsi="Arial Narrow"/>
        </w:rPr>
        <w:t>As a professor of constitutional law at the University of Paris 1 Panthéon-Sorbonne says</w:t>
      </w:r>
      <w:r w:rsidRPr="007B03F8">
        <w:rPr>
          <w:rFonts w:ascii="Arial Narrow" w:hAnsi="Arial Narrow"/>
        </w:rPr>
        <w:t>,</w:t>
      </w:r>
      <w:r>
        <w:rPr>
          <w:rFonts w:ascii="Arial Narrow" w:hAnsi="Arial Narrow"/>
        </w:rPr>
        <w:t xml:space="preserve"> the rule of law is becoming blamed for all our </w:t>
      </w:r>
      <w:r w:rsidR="00E91C31">
        <w:rPr>
          <w:rFonts w:ascii="Arial Narrow" w:hAnsi="Arial Narrow"/>
        </w:rPr>
        <w:t>problems</w:t>
      </w:r>
      <w:r>
        <w:rPr>
          <w:rFonts w:ascii="Arial Narrow" w:hAnsi="Arial Narrow"/>
        </w:rPr>
        <w:t>. “The</w:t>
      </w:r>
      <w:r w:rsidRPr="007B03F8">
        <w:rPr>
          <w:rFonts w:ascii="Arial Narrow" w:hAnsi="Arial Narrow"/>
        </w:rPr>
        <w:t xml:space="preserve"> multiplication </w:t>
      </w:r>
      <w:r>
        <w:rPr>
          <w:rFonts w:ascii="Arial Narrow" w:hAnsi="Arial Narrow"/>
        </w:rPr>
        <w:t>of terrorist attacks? It is the rule of law’s fault! The insufficient action against terrorists</w:t>
      </w:r>
      <w:r w:rsidRPr="007B03F8">
        <w:rPr>
          <w:rFonts w:ascii="Arial Narrow" w:hAnsi="Arial Narrow"/>
        </w:rPr>
        <w:t xml:space="preserve">? </w:t>
      </w:r>
      <w:r>
        <w:rPr>
          <w:rFonts w:ascii="Arial Narrow" w:hAnsi="Arial Narrow"/>
        </w:rPr>
        <w:t xml:space="preserve">It is the rule of law’s fault! </w:t>
      </w:r>
      <w:r w:rsidRPr="007B03F8">
        <w:rPr>
          <w:rFonts w:ascii="Arial Narrow" w:hAnsi="Arial Narrow"/>
        </w:rPr>
        <w:t xml:space="preserve"> (…) </w:t>
      </w:r>
      <w:r>
        <w:rPr>
          <w:rFonts w:ascii="Arial Narrow" w:hAnsi="Arial Narrow"/>
        </w:rPr>
        <w:t>The flow of political refugees to Europe</w:t>
      </w:r>
      <w:r w:rsidRPr="007B03F8">
        <w:rPr>
          <w:rFonts w:ascii="Arial Narrow" w:hAnsi="Arial Narrow"/>
        </w:rPr>
        <w:t xml:space="preserve">? </w:t>
      </w:r>
      <w:r w:rsidR="00E410C3">
        <w:rPr>
          <w:rFonts w:ascii="Arial Narrow" w:hAnsi="Arial Narrow"/>
        </w:rPr>
        <w:t>It is the rule of law’s fault! ...</w:t>
      </w:r>
      <w:r>
        <w:rPr>
          <w:rFonts w:ascii="Arial Narrow" w:hAnsi="Arial Narrow"/>
        </w:rPr>
        <w:t>”</w:t>
      </w:r>
      <w:r w:rsidRPr="007B03F8">
        <w:rPr>
          <w:rStyle w:val="FootnoteReference"/>
          <w:rFonts w:ascii="Arial Narrow" w:hAnsi="Arial Narrow"/>
        </w:rPr>
        <w:footnoteReference w:id="2"/>
      </w:r>
      <w:r w:rsidRPr="007B03F8">
        <w:rPr>
          <w:rFonts w:ascii="Arial Narrow" w:hAnsi="Arial Narrow"/>
        </w:rPr>
        <w:t>.</w:t>
      </w:r>
    </w:p>
    <w:p w14:paraId="72AC6207" w14:textId="77777777" w:rsidR="00895297" w:rsidRPr="007B03F8" w:rsidRDefault="00895297" w:rsidP="00895297">
      <w:pPr>
        <w:tabs>
          <w:tab w:val="left" w:pos="567"/>
        </w:tabs>
        <w:spacing w:line="480" w:lineRule="auto"/>
        <w:jc w:val="both"/>
        <w:rPr>
          <w:rFonts w:ascii="Arial Narrow" w:hAnsi="Arial Narrow"/>
        </w:rPr>
      </w:pPr>
    </w:p>
    <w:p w14:paraId="5A39A565" w14:textId="7ABF1268"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rPr>
        <w:lastRenderedPageBreak/>
        <w:tab/>
      </w:r>
      <w:r w:rsidR="008D4FE1">
        <w:rPr>
          <w:rFonts w:ascii="Arial Narrow" w:hAnsi="Arial Narrow"/>
        </w:rPr>
        <w:t>6</w:t>
      </w:r>
      <w:r w:rsidRPr="007B03F8">
        <w:rPr>
          <w:rFonts w:ascii="Arial Narrow" w:hAnsi="Arial Narrow"/>
        </w:rPr>
        <w:t>.  </w:t>
      </w:r>
      <w:r>
        <w:rPr>
          <w:rFonts w:ascii="Arial Narrow" w:hAnsi="Arial Narrow"/>
        </w:rPr>
        <w:t>The r</w:t>
      </w:r>
      <w:r w:rsidRPr="007B03F8">
        <w:rPr>
          <w:rFonts w:ascii="Arial Narrow" w:hAnsi="Arial Narrow"/>
          <w:i/>
        </w:rPr>
        <w:t xml:space="preserve">ule of </w:t>
      </w:r>
      <w:r>
        <w:rPr>
          <w:rFonts w:ascii="Arial Narrow" w:hAnsi="Arial Narrow"/>
          <w:i/>
        </w:rPr>
        <w:t>l</w:t>
      </w:r>
      <w:r w:rsidRPr="007B03F8">
        <w:rPr>
          <w:rFonts w:ascii="Arial Narrow" w:hAnsi="Arial Narrow"/>
          <w:i/>
        </w:rPr>
        <w:t>aw</w:t>
      </w:r>
      <w:r w:rsidRPr="007B03F8">
        <w:rPr>
          <w:rStyle w:val="FootnoteReference"/>
          <w:rFonts w:ascii="Arial Narrow" w:hAnsi="Arial Narrow"/>
        </w:rPr>
        <w:footnoteReference w:id="3"/>
      </w:r>
      <w:r w:rsidRPr="007B03F8">
        <w:rPr>
          <w:rFonts w:ascii="Arial Narrow" w:hAnsi="Arial Narrow"/>
        </w:rPr>
        <w:t xml:space="preserve">, </w:t>
      </w:r>
      <w:r>
        <w:rPr>
          <w:rFonts w:ascii="Arial Narrow" w:hAnsi="Arial Narrow"/>
        </w:rPr>
        <w:t>what is it basically about</w:t>
      </w:r>
      <w:r w:rsidRPr="007B03F8">
        <w:rPr>
          <w:rFonts w:ascii="Arial Narrow" w:hAnsi="Arial Narrow"/>
        </w:rPr>
        <w:t xml:space="preserve">? </w:t>
      </w:r>
      <w:r>
        <w:rPr>
          <w:rFonts w:ascii="Arial Narrow" w:hAnsi="Arial Narrow"/>
        </w:rPr>
        <w:t>Without going into the genealogy and the eventful history of the discourse on the rule of law</w:t>
      </w:r>
      <w:r w:rsidRPr="007B03F8">
        <w:rPr>
          <w:rStyle w:val="FootnoteReference"/>
          <w:rFonts w:ascii="Arial Narrow" w:hAnsi="Arial Narrow"/>
        </w:rPr>
        <w:footnoteReference w:id="4"/>
      </w:r>
      <w:r w:rsidRPr="007B03F8">
        <w:rPr>
          <w:rFonts w:ascii="Arial Narrow" w:hAnsi="Arial Narrow"/>
        </w:rPr>
        <w:t xml:space="preserve">, </w:t>
      </w:r>
      <w:r>
        <w:rPr>
          <w:rFonts w:ascii="Arial Narrow" w:hAnsi="Arial Narrow"/>
        </w:rPr>
        <w:t xml:space="preserve">I shall limit myself to recalling the </w:t>
      </w:r>
      <w:r w:rsidRPr="00F16A11">
        <w:rPr>
          <w:rFonts w:ascii="Arial Narrow" w:hAnsi="Arial Narrow"/>
          <w:i/>
        </w:rPr>
        <w:t>contours</w:t>
      </w:r>
      <w:r>
        <w:rPr>
          <w:rFonts w:ascii="Arial Narrow" w:hAnsi="Arial Narrow"/>
        </w:rPr>
        <w:t xml:space="preserve"> </w:t>
      </w:r>
      <w:r w:rsidR="00E91C31">
        <w:rPr>
          <w:rFonts w:ascii="Arial Narrow" w:hAnsi="Arial Narrow"/>
        </w:rPr>
        <w:t xml:space="preserve">/ scope </w:t>
      </w:r>
      <w:r>
        <w:rPr>
          <w:rFonts w:ascii="Arial Narrow" w:hAnsi="Arial Narrow"/>
        </w:rPr>
        <w:t>of the European model of the rule of law laid down in 1950 in the European Convention on Human Rights and enshrined in international</w:t>
      </w:r>
      <w:r w:rsidRPr="007B03F8">
        <w:rPr>
          <w:rStyle w:val="FootnoteReference"/>
          <w:rFonts w:ascii="Arial Narrow" w:hAnsi="Arial Narrow"/>
        </w:rPr>
        <w:footnoteReference w:id="5"/>
      </w:r>
      <w:r w:rsidRPr="007B03F8">
        <w:rPr>
          <w:rFonts w:ascii="Arial Narrow" w:hAnsi="Arial Narrow"/>
        </w:rPr>
        <w:t xml:space="preserve"> </w:t>
      </w:r>
      <w:r>
        <w:rPr>
          <w:rFonts w:ascii="Arial Narrow" w:hAnsi="Arial Narrow"/>
        </w:rPr>
        <w:t>as well as in European Union law</w:t>
      </w:r>
      <w:r w:rsidRPr="007B03F8">
        <w:rPr>
          <w:rStyle w:val="FootnoteReference"/>
          <w:rFonts w:ascii="Arial Narrow" w:hAnsi="Arial Narrow"/>
        </w:rPr>
        <w:footnoteReference w:id="6"/>
      </w:r>
      <w:r w:rsidRPr="007B03F8">
        <w:rPr>
          <w:rFonts w:ascii="Arial Narrow" w:hAnsi="Arial Narrow"/>
        </w:rPr>
        <w:t xml:space="preserve">. </w:t>
      </w:r>
      <w:r>
        <w:rPr>
          <w:rFonts w:ascii="Arial Narrow" w:hAnsi="Arial Narrow"/>
        </w:rPr>
        <w:t>This model is characterised by two features: the right to the Law (</w:t>
      </w:r>
      <w:r w:rsidRPr="00D736B0">
        <w:rPr>
          <w:rFonts w:ascii="Arial Narrow" w:hAnsi="Arial Narrow"/>
          <w:i/>
        </w:rPr>
        <w:t xml:space="preserve">droit au </w:t>
      </w:r>
      <w:r w:rsidR="00E410C3">
        <w:rPr>
          <w:rFonts w:ascii="Arial Narrow" w:hAnsi="Arial Narrow"/>
          <w:i/>
        </w:rPr>
        <w:t>d</w:t>
      </w:r>
      <w:r w:rsidRPr="00D736B0">
        <w:rPr>
          <w:rFonts w:ascii="Arial Narrow" w:hAnsi="Arial Narrow"/>
          <w:i/>
        </w:rPr>
        <w:t>roit</w:t>
      </w:r>
      <w:r>
        <w:rPr>
          <w:rFonts w:ascii="Arial Narrow" w:hAnsi="Arial Narrow"/>
        </w:rPr>
        <w:t>) and the right to justice (</w:t>
      </w:r>
      <w:r w:rsidRPr="00D736B0">
        <w:rPr>
          <w:rFonts w:ascii="Arial Narrow" w:hAnsi="Arial Narrow"/>
          <w:i/>
        </w:rPr>
        <w:t>droit au juge</w:t>
      </w:r>
      <w:r>
        <w:rPr>
          <w:rFonts w:ascii="Arial Narrow" w:hAnsi="Arial Narrow"/>
        </w:rPr>
        <w:t>)</w:t>
      </w:r>
      <w:r w:rsidRPr="007B03F8">
        <w:rPr>
          <w:rFonts w:ascii="Arial Narrow" w:hAnsi="Arial Narrow"/>
        </w:rPr>
        <w:t xml:space="preserve">. </w:t>
      </w:r>
      <w:r>
        <w:rPr>
          <w:rFonts w:ascii="Arial Narrow" w:hAnsi="Arial Narrow"/>
        </w:rPr>
        <w:t xml:space="preserve">From a substantive viewpoint, the rule of law implies both a denial and an </w:t>
      </w:r>
      <w:r w:rsidR="00E91C31">
        <w:rPr>
          <w:rFonts w:ascii="Arial Narrow" w:hAnsi="Arial Narrow"/>
        </w:rPr>
        <w:t>obligation</w:t>
      </w:r>
      <w:r w:rsidRPr="007B03F8">
        <w:rPr>
          <w:rFonts w:ascii="Arial Narrow" w:hAnsi="Arial Narrow"/>
        </w:rPr>
        <w:t>.</w:t>
      </w:r>
      <w:r>
        <w:rPr>
          <w:rFonts w:ascii="Arial Narrow" w:hAnsi="Arial Narrow"/>
        </w:rPr>
        <w:t xml:space="preserve"> A denial, that of </w:t>
      </w:r>
      <w:r w:rsidRPr="00004D57">
        <w:rPr>
          <w:rFonts w:ascii="Arial Narrow" w:hAnsi="Arial Narrow"/>
        </w:rPr>
        <w:t>arbitrary actions and the abuse of power</w:t>
      </w:r>
      <w:r>
        <w:rPr>
          <w:rFonts w:ascii="Arial Narrow" w:hAnsi="Arial Narrow"/>
        </w:rPr>
        <w:t>. An</w:t>
      </w:r>
      <w:r w:rsidRPr="007B03F8">
        <w:rPr>
          <w:rFonts w:ascii="Arial Narrow" w:hAnsi="Arial Narrow"/>
        </w:rPr>
        <w:t> </w:t>
      </w:r>
      <w:r w:rsidR="00E91C31">
        <w:rPr>
          <w:rFonts w:ascii="Arial Narrow" w:hAnsi="Arial Narrow"/>
        </w:rPr>
        <w:t>obligation</w:t>
      </w:r>
      <w:r w:rsidRPr="007B03F8">
        <w:rPr>
          <w:rFonts w:ascii="Arial Narrow" w:hAnsi="Arial Narrow"/>
        </w:rPr>
        <w:t xml:space="preserve">, </w:t>
      </w:r>
      <w:r w:rsidR="00E51D49">
        <w:rPr>
          <w:rFonts w:ascii="Arial Narrow" w:hAnsi="Arial Narrow"/>
        </w:rPr>
        <w:t>that is</w:t>
      </w:r>
      <w:r>
        <w:rPr>
          <w:rFonts w:ascii="Arial Narrow" w:hAnsi="Arial Narrow"/>
        </w:rPr>
        <w:t xml:space="preserve"> respect of human rights by all State bodies and public authorities</w:t>
      </w:r>
      <w:r w:rsidRPr="007B03F8">
        <w:rPr>
          <w:rFonts w:ascii="Arial Narrow" w:hAnsi="Arial Narrow"/>
        </w:rPr>
        <w:t xml:space="preserve">. </w:t>
      </w:r>
      <w:r>
        <w:rPr>
          <w:rFonts w:ascii="Arial Narrow" w:hAnsi="Arial Narrow"/>
        </w:rPr>
        <w:t>From</w:t>
      </w:r>
      <w:r w:rsidRPr="007B03F8">
        <w:rPr>
          <w:rFonts w:ascii="Arial Narrow" w:hAnsi="Arial Narrow"/>
        </w:rPr>
        <w:t> </w:t>
      </w:r>
      <w:r>
        <w:rPr>
          <w:rFonts w:ascii="Arial Narrow" w:hAnsi="Arial Narrow"/>
        </w:rPr>
        <w:t>a procedural viewpoint</w:t>
      </w:r>
      <w:r w:rsidRPr="007B03F8">
        <w:rPr>
          <w:rFonts w:ascii="Arial Narrow" w:hAnsi="Arial Narrow"/>
        </w:rPr>
        <w:t xml:space="preserve">, </w:t>
      </w:r>
      <w:r>
        <w:rPr>
          <w:rFonts w:ascii="Arial Narrow" w:hAnsi="Arial Narrow"/>
        </w:rPr>
        <w:t xml:space="preserve">the right to justice expresses the need for a judicial </w:t>
      </w:r>
      <w:r w:rsidR="00E51D49">
        <w:rPr>
          <w:rFonts w:ascii="Arial Narrow" w:hAnsi="Arial Narrow"/>
        </w:rPr>
        <w:t xml:space="preserve">intervention and </w:t>
      </w:r>
      <w:r>
        <w:rPr>
          <w:rFonts w:ascii="Arial Narrow" w:hAnsi="Arial Narrow"/>
        </w:rPr>
        <w:t>remedy, before an independent and impartial judge, who must be the “guardian of promises”</w:t>
      </w:r>
      <w:r w:rsidRPr="007B03F8">
        <w:rPr>
          <w:rFonts w:ascii="Arial Narrow" w:hAnsi="Arial Narrow"/>
        </w:rPr>
        <w:t xml:space="preserve">. </w:t>
      </w:r>
    </w:p>
    <w:p w14:paraId="4A81F1FB" w14:textId="77777777" w:rsidR="00E410C3" w:rsidRDefault="00E410C3" w:rsidP="00E410C3">
      <w:pPr>
        <w:tabs>
          <w:tab w:val="left" w:pos="567"/>
        </w:tabs>
        <w:spacing w:line="480" w:lineRule="auto"/>
        <w:jc w:val="both"/>
        <w:rPr>
          <w:rFonts w:ascii="Arial Narrow" w:hAnsi="Arial Narrow"/>
        </w:rPr>
      </w:pPr>
    </w:p>
    <w:p w14:paraId="2AA69DD0" w14:textId="362C25DB" w:rsidR="009B5651" w:rsidRPr="006E58A3" w:rsidRDefault="00E410C3" w:rsidP="00E410C3">
      <w:pPr>
        <w:tabs>
          <w:tab w:val="left" w:pos="567"/>
        </w:tabs>
        <w:spacing w:line="480" w:lineRule="auto"/>
        <w:jc w:val="both"/>
        <w:rPr>
          <w:rFonts w:ascii="Arial Narrow" w:hAnsi="Arial Narrow"/>
        </w:rPr>
      </w:pPr>
      <w:r>
        <w:rPr>
          <w:rFonts w:ascii="Arial Narrow" w:hAnsi="Arial Narrow"/>
        </w:rPr>
        <w:tab/>
      </w:r>
      <w:r w:rsidRPr="006E58A3">
        <w:rPr>
          <w:rFonts w:ascii="Arial Narrow" w:hAnsi="Arial Narrow"/>
        </w:rPr>
        <w:t xml:space="preserve">7.  As the vice-president of the French </w:t>
      </w:r>
      <w:r w:rsidRPr="006E58A3">
        <w:rPr>
          <w:rFonts w:ascii="Arial Narrow" w:hAnsi="Arial Narrow"/>
          <w:i/>
        </w:rPr>
        <w:t xml:space="preserve">Conseil d’Etat </w:t>
      </w:r>
      <w:r w:rsidRPr="006E58A3">
        <w:rPr>
          <w:rFonts w:ascii="Arial Narrow" w:hAnsi="Arial Narrow"/>
        </w:rPr>
        <w:t>Je</w:t>
      </w:r>
      <w:r w:rsidR="00E51D49">
        <w:rPr>
          <w:rFonts w:ascii="Arial Narrow" w:hAnsi="Arial Narrow"/>
        </w:rPr>
        <w:t>an-Marc Sauvé rightly analyses,</w:t>
      </w:r>
      <w:r w:rsidR="0050717E">
        <w:rPr>
          <w:rFonts w:ascii="Arial Narrow" w:hAnsi="Arial Narrow"/>
        </w:rPr>
        <w:t xml:space="preserve"> </w:t>
      </w:r>
      <w:r w:rsidR="009B5651" w:rsidRPr="006E58A3">
        <w:rPr>
          <w:rFonts w:ascii="Arial Narrow" w:hAnsi="Arial Narrow"/>
        </w:rPr>
        <w:t xml:space="preserve">there is </w:t>
      </w:r>
      <w:r w:rsidR="00E51D49">
        <w:rPr>
          <w:rFonts w:ascii="Arial Narrow" w:hAnsi="Arial Narrow"/>
        </w:rPr>
        <w:t>“</w:t>
      </w:r>
      <w:r w:rsidR="009B5651" w:rsidRPr="006E58A3">
        <w:rPr>
          <w:rFonts w:ascii="Arial Narrow" w:hAnsi="Arial Narrow"/>
        </w:rPr>
        <w:t xml:space="preserve">a descriptive and tautological conception of the rule of law based on the idea that any State where </w:t>
      </w:r>
      <w:r w:rsidR="00DF3AA0" w:rsidRPr="006E58A3">
        <w:rPr>
          <w:rFonts w:ascii="Arial Narrow" w:hAnsi="Arial Narrow"/>
        </w:rPr>
        <w:t xml:space="preserve">law is a part of the State </w:t>
      </w:r>
      <w:r w:rsidR="009B5651" w:rsidRPr="006E58A3">
        <w:rPr>
          <w:rFonts w:ascii="Arial Narrow" w:hAnsi="Arial Narrow"/>
        </w:rPr>
        <w:t>is a rule-of-law State</w:t>
      </w:r>
      <w:r w:rsidR="00DF3AA0" w:rsidRPr="006E58A3">
        <w:rPr>
          <w:rFonts w:ascii="Arial Narrow" w:hAnsi="Arial Narrow"/>
        </w:rPr>
        <w:t>. In this regard, one could say that a dictatorial regime is a rule-of-law State</w:t>
      </w:r>
      <w:r w:rsidR="00E51D49">
        <w:rPr>
          <w:rFonts w:ascii="Arial Narrow" w:hAnsi="Arial Narrow"/>
        </w:rPr>
        <w:t>”</w:t>
      </w:r>
      <w:r w:rsidR="00A31FBD" w:rsidRPr="006E58A3">
        <w:rPr>
          <w:rStyle w:val="FootnoteReference"/>
          <w:rFonts w:ascii="Arial Narrow" w:hAnsi="Arial Narrow"/>
        </w:rPr>
        <w:footnoteReference w:id="7"/>
      </w:r>
      <w:r w:rsidR="00DF3AA0" w:rsidRPr="006E58A3">
        <w:rPr>
          <w:rFonts w:ascii="Arial Narrow" w:hAnsi="Arial Narrow"/>
        </w:rPr>
        <w:t xml:space="preserve">. That is a misunderstanding. A rule-of-law State is a State </w:t>
      </w:r>
      <w:r w:rsidR="006E58A3" w:rsidRPr="006E58A3">
        <w:rPr>
          <w:rFonts w:ascii="Arial Narrow" w:hAnsi="Arial Narrow"/>
        </w:rPr>
        <w:t>which complies with rules of law inspired by / based on respect for human rights and public freedoms.</w:t>
      </w:r>
    </w:p>
    <w:p w14:paraId="376212F7" w14:textId="77777777" w:rsidR="00E410C3" w:rsidRPr="00E51D49" w:rsidRDefault="00E410C3" w:rsidP="00E410C3">
      <w:pPr>
        <w:tabs>
          <w:tab w:val="left" w:pos="567"/>
        </w:tabs>
        <w:spacing w:line="480" w:lineRule="auto"/>
        <w:jc w:val="both"/>
        <w:rPr>
          <w:rFonts w:ascii="Arial Narrow" w:hAnsi="Arial Narrow"/>
        </w:rPr>
      </w:pPr>
    </w:p>
    <w:p w14:paraId="487E63AC" w14:textId="72BE7DA1" w:rsidR="00E410C3" w:rsidRDefault="00E410C3" w:rsidP="00E410C3">
      <w:pPr>
        <w:tabs>
          <w:tab w:val="left" w:pos="567"/>
        </w:tabs>
        <w:spacing w:line="480" w:lineRule="auto"/>
        <w:jc w:val="both"/>
        <w:rPr>
          <w:rFonts w:ascii="Arial Narrow" w:hAnsi="Arial Narrow"/>
        </w:rPr>
      </w:pPr>
      <w:r w:rsidRPr="00E51D49">
        <w:rPr>
          <w:rFonts w:ascii="Arial Narrow" w:hAnsi="Arial Narrow"/>
        </w:rPr>
        <w:tab/>
      </w:r>
      <w:r w:rsidRPr="00251773">
        <w:rPr>
          <w:rFonts w:ascii="Arial Narrow" w:hAnsi="Arial Narrow"/>
        </w:rPr>
        <w:t>8</w:t>
      </w:r>
      <w:r w:rsidRPr="007B03F8">
        <w:rPr>
          <w:rFonts w:ascii="Arial Narrow" w:hAnsi="Arial Narrow"/>
        </w:rPr>
        <w:t>.  </w:t>
      </w:r>
      <w:r>
        <w:rPr>
          <w:rFonts w:ascii="Arial Narrow" w:hAnsi="Arial Narrow"/>
        </w:rPr>
        <w:t>The rule of law (</w:t>
      </w:r>
      <w:r w:rsidRPr="009A5321">
        <w:rPr>
          <w:rFonts w:ascii="Arial Narrow" w:hAnsi="Arial Narrow"/>
          <w:i/>
        </w:rPr>
        <w:t>l’Etat de droit</w:t>
      </w:r>
      <w:r>
        <w:rPr>
          <w:rFonts w:ascii="Arial Narrow" w:hAnsi="Arial Narrow"/>
        </w:rPr>
        <w:t>) is therefore an essential democratic guarantee</w:t>
      </w:r>
      <w:r w:rsidRPr="007B03F8">
        <w:rPr>
          <w:rFonts w:ascii="Arial Narrow" w:hAnsi="Arial Narrow"/>
        </w:rPr>
        <w:t>,</w:t>
      </w:r>
      <w:r>
        <w:rPr>
          <w:rFonts w:ascii="Arial Narrow" w:hAnsi="Arial Narrow"/>
        </w:rPr>
        <w:t xml:space="preserve"> even and particularly in the context of terrorism. </w:t>
      </w:r>
      <w:r w:rsidR="00865C72">
        <w:rPr>
          <w:rFonts w:ascii="Arial Narrow" w:hAnsi="Arial Narrow"/>
        </w:rPr>
        <w:t>It is radically different from the police state, which allows the Executive to “dictate the law”</w:t>
      </w:r>
      <w:r w:rsidR="00865C72" w:rsidRPr="007B03F8">
        <w:rPr>
          <w:rFonts w:ascii="Arial Narrow" w:hAnsi="Arial Narrow"/>
        </w:rPr>
        <w:t xml:space="preserve"> </w:t>
      </w:r>
      <w:r w:rsidR="00865C72">
        <w:rPr>
          <w:rFonts w:ascii="Arial Narrow" w:hAnsi="Arial Narrow"/>
        </w:rPr>
        <w:t>and to enforce it without controls</w:t>
      </w:r>
      <w:r w:rsidR="00865C72" w:rsidRPr="007B03F8">
        <w:rPr>
          <w:rFonts w:ascii="Arial Narrow" w:hAnsi="Arial Narrow"/>
        </w:rPr>
        <w:t xml:space="preserve">. </w:t>
      </w:r>
      <w:r w:rsidR="00865C72">
        <w:rPr>
          <w:rFonts w:ascii="Arial Narrow" w:hAnsi="Arial Narrow"/>
        </w:rPr>
        <w:t>In this respect, state of emergency laws or draft laws which, for instance</w:t>
      </w:r>
      <w:r w:rsidR="00865C72" w:rsidRPr="007B03F8">
        <w:rPr>
          <w:rFonts w:ascii="Arial Narrow" w:hAnsi="Arial Narrow"/>
        </w:rPr>
        <w:t xml:space="preserve">, </w:t>
      </w:r>
      <w:r w:rsidR="00865C72">
        <w:rPr>
          <w:rFonts w:ascii="Arial Narrow" w:hAnsi="Arial Narrow"/>
        </w:rPr>
        <w:t xml:space="preserve">allow the administrative authorities to assign people to house arrest </w:t>
      </w:r>
      <w:r w:rsidR="00865C72">
        <w:rPr>
          <w:rFonts w:ascii="Arial Narrow" w:hAnsi="Arial Narrow"/>
        </w:rPr>
        <w:lastRenderedPageBreak/>
        <w:t>without a court having to approve it or even to place someone in detention subject only to judicial review</w:t>
      </w:r>
      <w:r w:rsidR="00865C72" w:rsidRPr="007B03F8">
        <w:rPr>
          <w:rFonts w:ascii="Arial Narrow" w:hAnsi="Arial Narrow"/>
        </w:rPr>
        <w:t xml:space="preserve"> </w:t>
      </w:r>
      <w:r w:rsidR="00865C72" w:rsidRPr="004724AD">
        <w:rPr>
          <w:rFonts w:ascii="Arial Narrow" w:hAnsi="Arial Narrow"/>
          <w:i/>
        </w:rPr>
        <w:t>a posteriori</w:t>
      </w:r>
      <w:r w:rsidR="00865C72">
        <w:rPr>
          <w:rFonts w:ascii="Arial Narrow" w:hAnsi="Arial Narrow"/>
        </w:rPr>
        <w:t>, are highly problematic</w:t>
      </w:r>
      <w:r w:rsidR="00865C72" w:rsidRPr="007B03F8">
        <w:rPr>
          <w:rStyle w:val="FootnoteReference"/>
          <w:rFonts w:ascii="Arial Narrow" w:hAnsi="Arial Narrow"/>
        </w:rPr>
        <w:footnoteReference w:id="8"/>
      </w:r>
      <w:r w:rsidR="00865C72" w:rsidRPr="007B03F8">
        <w:rPr>
          <w:rFonts w:ascii="Arial Narrow" w:hAnsi="Arial Narrow"/>
        </w:rPr>
        <w:t xml:space="preserve">. </w:t>
      </w:r>
      <w:r w:rsidR="00865C72">
        <w:rPr>
          <w:rFonts w:ascii="Arial Narrow" w:hAnsi="Arial Narrow"/>
        </w:rPr>
        <w:t xml:space="preserve">To </w:t>
      </w:r>
      <w:r w:rsidR="00865C72" w:rsidRPr="0084720D">
        <w:rPr>
          <w:rFonts w:ascii="Arial Narrow" w:hAnsi="Arial Narrow"/>
        </w:rPr>
        <w:t>detain people is not the task of the political authorities but of the judiciary.</w:t>
      </w:r>
      <w:r>
        <w:rPr>
          <w:rFonts w:ascii="Arial Narrow" w:hAnsi="Arial Narrow"/>
        </w:rPr>
        <w:t xml:space="preserve"> </w:t>
      </w:r>
      <w:r w:rsidRPr="00AB70A9">
        <w:rPr>
          <w:rFonts w:ascii="Arial Narrow" w:hAnsi="Arial Narrow"/>
        </w:rPr>
        <w:t>In an opinion issued on 17 Decemb</w:t>
      </w:r>
      <w:r w:rsidRPr="00E410C3">
        <w:rPr>
          <w:rFonts w:ascii="Arial Narrow" w:hAnsi="Arial Narrow"/>
        </w:rPr>
        <w:t xml:space="preserve">er 2015 the French </w:t>
      </w:r>
      <w:r w:rsidRPr="007D434E">
        <w:rPr>
          <w:rFonts w:ascii="Arial Narrow" w:hAnsi="Arial Narrow"/>
          <w:i/>
        </w:rPr>
        <w:t>Conseil d’Etat</w:t>
      </w:r>
      <w:r w:rsidRPr="00E410C3">
        <w:rPr>
          <w:rFonts w:ascii="Arial Narrow" w:hAnsi="Arial Narrow"/>
        </w:rPr>
        <w:t xml:space="preserve"> clearly stated that, within the present constitutional framework, it was not possible, under the precautionary principle, to deprive persons flagged with fiche </w:t>
      </w:r>
      <w:r w:rsidR="00A3118A">
        <w:rPr>
          <w:rFonts w:ascii="Arial Narrow" w:hAnsi="Arial Narrow"/>
        </w:rPr>
        <w:t>“</w:t>
      </w:r>
      <w:r w:rsidRPr="00E410C3">
        <w:rPr>
          <w:rFonts w:ascii="Arial Narrow" w:hAnsi="Arial Narrow"/>
        </w:rPr>
        <w:t>S</w:t>
      </w:r>
      <w:r w:rsidR="00A3118A">
        <w:rPr>
          <w:rFonts w:ascii="Arial Narrow" w:hAnsi="Arial Narrow"/>
        </w:rPr>
        <w:t>”</w:t>
      </w:r>
      <w:r w:rsidRPr="00E410C3">
        <w:rPr>
          <w:rFonts w:ascii="Arial Narrow" w:hAnsi="Arial Narrow"/>
        </w:rPr>
        <w:t xml:space="preserve"> (</w:t>
      </w:r>
      <w:r w:rsidRPr="00E410C3">
        <w:rPr>
          <w:rFonts w:ascii="Arial Narrow" w:hAnsi="Arial Narrow"/>
          <w:i/>
        </w:rPr>
        <w:t>personnes fichées “S”</w:t>
      </w:r>
      <w:r w:rsidRPr="00E410C3">
        <w:rPr>
          <w:rFonts w:ascii="Arial Narrow" w:hAnsi="Arial Narrow"/>
        </w:rPr>
        <w:t xml:space="preserve">) of their liberty on the basis of a suspicious </w:t>
      </w:r>
      <w:r w:rsidR="00A3118A">
        <w:rPr>
          <w:rFonts w:ascii="Arial Narrow" w:hAnsi="Arial Narrow"/>
        </w:rPr>
        <w:t>conduct</w:t>
      </w:r>
      <w:r w:rsidRPr="00E410C3">
        <w:rPr>
          <w:rFonts w:ascii="Arial Narrow" w:hAnsi="Arial Narrow"/>
        </w:rPr>
        <w:t xml:space="preserve"> (and not activit</w:t>
      </w:r>
      <w:r w:rsidR="00A3118A">
        <w:rPr>
          <w:rFonts w:ascii="Arial Narrow" w:hAnsi="Arial Narrow"/>
        </w:rPr>
        <w:t>y</w:t>
      </w:r>
      <w:r w:rsidRPr="00E410C3">
        <w:rPr>
          <w:rFonts w:ascii="Arial Narrow" w:hAnsi="Arial Narrow"/>
        </w:rPr>
        <w:t>)</w:t>
      </w:r>
      <w:r w:rsidRPr="00E410C3">
        <w:rPr>
          <w:rStyle w:val="FootnoteReference"/>
          <w:rFonts w:ascii="Arial Narrow" w:hAnsi="Arial Narrow"/>
        </w:rPr>
        <w:footnoteReference w:id="9"/>
      </w:r>
      <w:r w:rsidRPr="00E410C3">
        <w:rPr>
          <w:rFonts w:ascii="Arial Narrow" w:hAnsi="Arial Narrow"/>
        </w:rPr>
        <w:t>. “In a country that l</w:t>
      </w:r>
      <w:r w:rsidRPr="00A9750C">
        <w:rPr>
          <w:rFonts w:ascii="Arial Narrow" w:hAnsi="Arial Narrow"/>
        </w:rPr>
        <w:t>ives in a prolonged state of emergency, and in which police operations progress</w:t>
      </w:r>
      <w:r>
        <w:rPr>
          <w:rFonts w:ascii="Arial Narrow" w:hAnsi="Arial Narrow"/>
        </w:rPr>
        <w:t>ively replace judicial power, a</w:t>
      </w:r>
      <w:r w:rsidRPr="007B03F8">
        <w:rPr>
          <w:rFonts w:ascii="Arial Narrow" w:hAnsi="Arial Narrow"/>
        </w:rPr>
        <w:t> </w:t>
      </w:r>
      <w:r w:rsidRPr="00A9750C">
        <w:rPr>
          <w:rFonts w:ascii="Arial Narrow" w:hAnsi="Arial Narrow"/>
        </w:rPr>
        <w:t>rapid and irreversible degradation of public institutions must be expected</w:t>
      </w:r>
      <w:r>
        <w:rPr>
          <w:rFonts w:ascii="Arial Narrow" w:hAnsi="Arial Narrow"/>
        </w:rPr>
        <w:t>”</w:t>
      </w:r>
      <w:r w:rsidRPr="007B03F8">
        <w:rPr>
          <w:rStyle w:val="FootnoteReference"/>
          <w:rFonts w:ascii="Arial Narrow" w:hAnsi="Arial Narrow"/>
        </w:rPr>
        <w:footnoteReference w:id="10"/>
      </w:r>
      <w:r w:rsidRPr="007B03F8">
        <w:rPr>
          <w:rFonts w:ascii="Arial Narrow" w:hAnsi="Arial Narrow"/>
        </w:rPr>
        <w:t>.</w:t>
      </w:r>
      <w:r>
        <w:rPr>
          <w:rFonts w:ascii="Arial Narrow" w:hAnsi="Arial Narrow"/>
        </w:rPr>
        <w:t xml:space="preserve"> </w:t>
      </w:r>
      <w:r w:rsidRPr="00F3284B">
        <w:rPr>
          <w:rFonts w:ascii="Arial Narrow" w:hAnsi="Arial Narrow"/>
        </w:rPr>
        <w:t xml:space="preserve">In an </w:t>
      </w:r>
      <w:r w:rsidR="0036211C">
        <w:rPr>
          <w:rFonts w:ascii="Arial Narrow" w:hAnsi="Arial Narrow"/>
        </w:rPr>
        <w:t>opinion of 2 February 2016, the </w:t>
      </w:r>
      <w:r w:rsidRPr="00F3284B">
        <w:rPr>
          <w:rFonts w:ascii="Arial Narrow" w:hAnsi="Arial Narrow"/>
        </w:rPr>
        <w:t xml:space="preserve">French </w:t>
      </w:r>
      <w:r w:rsidRPr="007D434E">
        <w:rPr>
          <w:rFonts w:ascii="Arial Narrow" w:hAnsi="Arial Narrow"/>
          <w:i/>
        </w:rPr>
        <w:t>Conseil d’Etat</w:t>
      </w:r>
      <w:r w:rsidR="0036211C">
        <w:rPr>
          <w:rFonts w:ascii="Arial Narrow" w:hAnsi="Arial Narrow"/>
        </w:rPr>
        <w:t xml:space="preserve"> also</w:t>
      </w:r>
      <w:r w:rsidRPr="00F3284B">
        <w:rPr>
          <w:rFonts w:ascii="Arial Narrow" w:hAnsi="Arial Narrow"/>
        </w:rPr>
        <w:t xml:space="preserve"> recalled that a state of emergency, which is a state of crisis, cannot be renewed indefinitely</w:t>
      </w:r>
      <w:r w:rsidRPr="00F3284B">
        <w:rPr>
          <w:rStyle w:val="FootnoteReference"/>
          <w:rFonts w:ascii="Arial Narrow" w:hAnsi="Arial Narrow"/>
        </w:rPr>
        <w:footnoteReference w:id="11"/>
      </w:r>
      <w:r w:rsidRPr="00F3284B">
        <w:rPr>
          <w:rFonts w:ascii="Arial Narrow" w:hAnsi="Arial Narrow"/>
        </w:rPr>
        <w:t>.</w:t>
      </w:r>
      <w:r>
        <w:rPr>
          <w:rFonts w:ascii="Arial Narrow" w:hAnsi="Arial Narrow"/>
        </w:rPr>
        <w:t xml:space="preserve"> </w:t>
      </w:r>
    </w:p>
    <w:p w14:paraId="33C2A470" w14:textId="77777777" w:rsidR="00E410C3" w:rsidRDefault="00E410C3" w:rsidP="00E410C3">
      <w:pPr>
        <w:tabs>
          <w:tab w:val="left" w:pos="567"/>
        </w:tabs>
        <w:spacing w:line="480" w:lineRule="auto"/>
        <w:jc w:val="both"/>
        <w:rPr>
          <w:rFonts w:ascii="Arial Narrow" w:hAnsi="Arial Narrow"/>
        </w:rPr>
      </w:pPr>
    </w:p>
    <w:p w14:paraId="4D2B2631" w14:textId="77777777" w:rsidR="00E410C3" w:rsidRDefault="00E410C3" w:rsidP="00E410C3">
      <w:pPr>
        <w:tabs>
          <w:tab w:val="left" w:pos="567"/>
        </w:tabs>
        <w:spacing w:line="480" w:lineRule="auto"/>
        <w:jc w:val="both"/>
        <w:rPr>
          <w:rFonts w:ascii="Arial Narrow" w:hAnsi="Arial Narrow"/>
        </w:rPr>
      </w:pPr>
      <w:r>
        <w:rPr>
          <w:rFonts w:ascii="Arial Narrow" w:hAnsi="Arial Narrow"/>
        </w:rPr>
        <w:tab/>
        <w:t xml:space="preserve">9.  Under the state of emergency introduced in Turkey following the failed </w:t>
      </w:r>
      <w:r w:rsidRPr="00FA1CF5">
        <w:rPr>
          <w:rFonts w:ascii="Arial Narrow" w:hAnsi="Arial Narrow"/>
          <w:i/>
        </w:rPr>
        <w:t xml:space="preserve">coup </w:t>
      </w:r>
      <w:r>
        <w:rPr>
          <w:rFonts w:ascii="Arial Narrow" w:hAnsi="Arial Narrow"/>
          <w:i/>
        </w:rPr>
        <w:t xml:space="preserve">d’état </w:t>
      </w:r>
      <w:r>
        <w:rPr>
          <w:rFonts w:ascii="Arial Narrow" w:hAnsi="Arial Narrow"/>
        </w:rPr>
        <w:t>of 15 July 2016</w:t>
      </w:r>
      <w:r w:rsidRPr="007B03F8">
        <w:rPr>
          <w:rFonts w:ascii="Arial Narrow" w:hAnsi="Arial Narrow"/>
        </w:rPr>
        <w:t xml:space="preserve">, </w:t>
      </w:r>
      <w:r>
        <w:rPr>
          <w:rFonts w:ascii="Arial Narrow" w:hAnsi="Arial Narrow"/>
        </w:rPr>
        <w:t xml:space="preserve">large-scale purges are targeting </w:t>
      </w:r>
      <w:r w:rsidRPr="006903C1">
        <w:rPr>
          <w:rFonts w:ascii="Arial Narrow" w:hAnsi="Arial Narrow"/>
        </w:rPr>
        <w:t xml:space="preserve">all sectors of society </w:t>
      </w:r>
      <w:r w:rsidRPr="007B03F8">
        <w:rPr>
          <w:rFonts w:ascii="Arial Narrow" w:hAnsi="Arial Narrow"/>
        </w:rPr>
        <w:t>(</w:t>
      </w:r>
      <w:r>
        <w:rPr>
          <w:rFonts w:ascii="Arial Narrow" w:hAnsi="Arial Narrow"/>
        </w:rPr>
        <w:t>education, media</w:t>
      </w:r>
      <w:r w:rsidRPr="007B03F8">
        <w:rPr>
          <w:rFonts w:ascii="Arial Narrow" w:hAnsi="Arial Narrow"/>
        </w:rPr>
        <w:t>,</w:t>
      </w:r>
      <w:r>
        <w:rPr>
          <w:rFonts w:ascii="Arial Narrow" w:hAnsi="Arial Narrow"/>
        </w:rPr>
        <w:t xml:space="preserve"> army</w:t>
      </w:r>
      <w:r w:rsidRPr="007B03F8">
        <w:rPr>
          <w:rFonts w:ascii="Arial Narrow" w:hAnsi="Arial Narrow"/>
        </w:rPr>
        <w:t xml:space="preserve">, </w:t>
      </w:r>
      <w:r>
        <w:rPr>
          <w:rFonts w:ascii="Arial Narrow" w:hAnsi="Arial Narrow"/>
        </w:rPr>
        <w:t>judiciary</w:t>
      </w:r>
      <w:r w:rsidRPr="007B03F8">
        <w:rPr>
          <w:rFonts w:ascii="Arial Narrow" w:hAnsi="Arial Narrow"/>
        </w:rPr>
        <w:t xml:space="preserve">) </w:t>
      </w:r>
      <w:r>
        <w:rPr>
          <w:rFonts w:ascii="Arial Narrow" w:hAnsi="Arial Narrow"/>
        </w:rPr>
        <w:t>and around 35,</w:t>
      </w:r>
      <w:r w:rsidRPr="007B03F8">
        <w:rPr>
          <w:rFonts w:ascii="Arial Narrow" w:hAnsi="Arial Narrow"/>
        </w:rPr>
        <w:t xml:space="preserve">000 </w:t>
      </w:r>
      <w:r>
        <w:rPr>
          <w:rFonts w:ascii="Arial Narrow" w:hAnsi="Arial Narrow"/>
        </w:rPr>
        <w:t>people have already been arrested according to the figures given by the ministry of Justice</w:t>
      </w:r>
      <w:r w:rsidRPr="007B03F8">
        <w:rPr>
          <w:rFonts w:ascii="Arial Narrow" w:hAnsi="Arial Narrow"/>
        </w:rPr>
        <w:t xml:space="preserve">. </w:t>
      </w:r>
      <w:r>
        <w:rPr>
          <w:rFonts w:ascii="Arial Narrow" w:hAnsi="Arial Narrow"/>
        </w:rPr>
        <w:t xml:space="preserve">The European Court of Human Rights has since then received a significant number of applications – more than 3,000 – lodged by persons subjected to such measures. However, a first case, </w:t>
      </w:r>
      <w:r w:rsidRPr="00466D89">
        <w:rPr>
          <w:rFonts w:ascii="Arial Narrow" w:hAnsi="Arial Narrow"/>
          <w:i/>
        </w:rPr>
        <w:t>Mercan v. Turkey</w:t>
      </w:r>
      <w:r>
        <w:rPr>
          <w:rFonts w:ascii="Arial Narrow" w:hAnsi="Arial Narrow"/>
        </w:rPr>
        <w:t>, which concerned</w:t>
      </w:r>
      <w:r w:rsidRPr="00466D89">
        <w:rPr>
          <w:rFonts w:ascii="Arial Narrow" w:hAnsi="Arial Narrow"/>
        </w:rPr>
        <w:t xml:space="preserve"> the pre-trial detention of a judge who was dismissed from office</w:t>
      </w:r>
      <w:r>
        <w:rPr>
          <w:rFonts w:ascii="Arial Narrow" w:hAnsi="Arial Narrow"/>
        </w:rPr>
        <w:t xml:space="preserve"> a few days before the state of emergency which was proclaimed on 21 July 2016, was declared inadmissible by the Court on 8 November 2016 for failure to exhaust domestic remedies</w:t>
      </w:r>
      <w:r w:rsidRPr="007B03F8">
        <w:rPr>
          <w:rStyle w:val="FootnoteReference"/>
          <w:rFonts w:ascii="Arial Narrow" w:hAnsi="Arial Narrow"/>
        </w:rPr>
        <w:footnoteReference w:id="12"/>
      </w:r>
      <w:r w:rsidRPr="00466D89">
        <w:rPr>
          <w:rFonts w:ascii="Arial Narrow" w:hAnsi="Arial Narrow"/>
        </w:rPr>
        <w:t>.</w:t>
      </w:r>
    </w:p>
    <w:p w14:paraId="0B6506E9" w14:textId="77777777" w:rsidR="00E410C3" w:rsidRDefault="00E410C3" w:rsidP="00E410C3">
      <w:pPr>
        <w:tabs>
          <w:tab w:val="left" w:pos="567"/>
        </w:tabs>
        <w:spacing w:line="480" w:lineRule="auto"/>
        <w:jc w:val="both"/>
        <w:rPr>
          <w:rFonts w:ascii="Arial Narrow" w:hAnsi="Arial Narrow"/>
        </w:rPr>
      </w:pPr>
    </w:p>
    <w:p w14:paraId="3DC6DBB5" w14:textId="14D64E02" w:rsidR="00E410C3" w:rsidRDefault="00E410C3" w:rsidP="00E410C3">
      <w:pPr>
        <w:tabs>
          <w:tab w:val="left" w:pos="567"/>
        </w:tabs>
        <w:spacing w:line="480" w:lineRule="auto"/>
        <w:jc w:val="both"/>
        <w:rPr>
          <w:rFonts w:ascii="Arial Narrow" w:hAnsi="Arial Narrow"/>
        </w:rPr>
      </w:pPr>
      <w:r>
        <w:rPr>
          <w:rFonts w:ascii="Arial Narrow" w:hAnsi="Arial Narrow"/>
        </w:rPr>
        <w:tab/>
        <w:t>10</w:t>
      </w:r>
      <w:r w:rsidRPr="00F3284B">
        <w:rPr>
          <w:rFonts w:ascii="Arial Narrow" w:hAnsi="Arial Narrow"/>
        </w:rPr>
        <w:t>.  Let us now turn to my second and third points. The obligation to fight against terrorism and the obligation to respect human righ</w:t>
      </w:r>
      <w:r w:rsidRPr="008C0128">
        <w:rPr>
          <w:rFonts w:ascii="Arial Narrow" w:hAnsi="Arial Narrow"/>
        </w:rPr>
        <w:t xml:space="preserve">ts. In a seminal book that I am very indebted to, </w:t>
      </w:r>
      <w:r w:rsidRPr="008C0128">
        <w:rPr>
          <w:rFonts w:ascii="Arial Narrow" w:hAnsi="Arial Narrow"/>
          <w:i/>
        </w:rPr>
        <w:t>Terrorism and the limitations of rights. The European Convention on Human Rights and the United States Constitution</w:t>
      </w:r>
      <w:r w:rsidRPr="008C0128">
        <w:rPr>
          <w:rStyle w:val="FootnoteReference"/>
          <w:rFonts w:ascii="Arial Narrow" w:hAnsi="Arial Narrow"/>
          <w:lang w:val="fr-FR"/>
        </w:rPr>
        <w:footnoteReference w:id="13"/>
      </w:r>
      <w:r w:rsidRPr="008C0128">
        <w:rPr>
          <w:rFonts w:ascii="Arial Narrow" w:hAnsi="Arial Narrow"/>
        </w:rPr>
        <w:t>, Stefan Sottiaux develops the idea of the paradoxical relations between terrorism and human righ</w:t>
      </w:r>
      <w:r w:rsidRPr="006F19C8">
        <w:rPr>
          <w:rFonts w:ascii="Arial Narrow" w:hAnsi="Arial Narrow"/>
        </w:rPr>
        <w:t>ts</w:t>
      </w:r>
      <w:r w:rsidR="006F19C8" w:rsidRPr="006F19C8">
        <w:rPr>
          <w:rStyle w:val="FootnoteReference"/>
          <w:rFonts w:ascii="Arial Narrow" w:hAnsi="Arial Narrow"/>
          <w:lang w:val="fr-FR"/>
        </w:rPr>
        <w:footnoteReference w:id="14"/>
      </w:r>
      <w:r w:rsidRPr="006F19C8">
        <w:rPr>
          <w:rFonts w:ascii="Arial Narrow" w:hAnsi="Arial Narrow"/>
        </w:rPr>
        <w:t>.</w:t>
      </w:r>
      <w:r w:rsidRPr="008C0128">
        <w:rPr>
          <w:rFonts w:ascii="Arial Narrow" w:hAnsi="Arial Narrow"/>
        </w:rPr>
        <w:t xml:space="preserve"> I fully agree with him. </w:t>
      </w:r>
      <w:r>
        <w:rPr>
          <w:rFonts w:ascii="Arial Narrow" w:hAnsi="Arial Narrow"/>
        </w:rPr>
        <w:t xml:space="preserve">It </w:t>
      </w:r>
      <w:r w:rsidRPr="008C0128">
        <w:rPr>
          <w:rFonts w:ascii="Arial Narrow" w:hAnsi="Arial Narrow"/>
        </w:rPr>
        <w:t xml:space="preserve">is indeed a </w:t>
      </w:r>
      <w:r>
        <w:rPr>
          <w:rFonts w:ascii="Arial Narrow" w:hAnsi="Arial Narrow"/>
        </w:rPr>
        <w:t xml:space="preserve">real </w:t>
      </w:r>
      <w:r w:rsidRPr="008C0128">
        <w:rPr>
          <w:rFonts w:ascii="Arial Narrow" w:hAnsi="Arial Narrow"/>
        </w:rPr>
        <w:t>paradox and not a contradiction</w:t>
      </w:r>
      <w:r>
        <w:rPr>
          <w:rFonts w:ascii="Arial Narrow" w:hAnsi="Arial Narrow"/>
        </w:rPr>
        <w:t xml:space="preserve">. A contradiction is like a knot, we untie it. But, in the case of a paradox, </w:t>
      </w:r>
      <w:r w:rsidRPr="008C0128">
        <w:rPr>
          <w:rFonts w:ascii="Arial Narrow" w:hAnsi="Arial Narrow"/>
        </w:rPr>
        <w:t>an attempt must be made to come to terms with it, while being aware of the complexity of the ensuing consequences, and to clarify it in the light of the requisite balance between its component parts.</w:t>
      </w:r>
      <w:r w:rsidR="006F19C8">
        <w:rPr>
          <w:rFonts w:ascii="Arial Narrow" w:hAnsi="Arial Narrow"/>
        </w:rPr>
        <w:t xml:space="preserve"> </w:t>
      </w:r>
      <w:r w:rsidR="006F19C8" w:rsidRPr="00B86A17">
        <w:rPr>
          <w:rFonts w:ascii="Arial Narrow" w:hAnsi="Arial Narrow"/>
        </w:rPr>
        <w:t>“Human rights law not only serves as a primary source of the State’s responsibility to counter terrorism, but it also imposes the boundaries within which the State’s response to terrorism must unfold”</w:t>
      </w:r>
      <w:r w:rsidR="006F19C8" w:rsidRPr="00B86A17">
        <w:rPr>
          <w:rStyle w:val="FootnoteReference"/>
          <w:rFonts w:ascii="Arial Narrow" w:hAnsi="Arial Narrow"/>
          <w:lang w:val="fr-FR"/>
        </w:rPr>
        <w:footnoteReference w:id="15"/>
      </w:r>
      <w:r w:rsidR="006F19C8" w:rsidRPr="00B86A17">
        <w:rPr>
          <w:rFonts w:ascii="Arial Narrow" w:hAnsi="Arial Narrow"/>
        </w:rPr>
        <w:t>.</w:t>
      </w:r>
    </w:p>
    <w:p w14:paraId="39E87B92" w14:textId="77777777" w:rsidR="00895297" w:rsidRDefault="00895297" w:rsidP="00895297">
      <w:pPr>
        <w:tabs>
          <w:tab w:val="left" w:pos="567"/>
        </w:tabs>
        <w:spacing w:line="480" w:lineRule="auto"/>
        <w:jc w:val="both"/>
        <w:rPr>
          <w:rFonts w:ascii="Arial Narrow" w:hAnsi="Arial Narrow"/>
        </w:rPr>
      </w:pPr>
    </w:p>
    <w:p w14:paraId="359A639D" w14:textId="77777777" w:rsidR="00895297" w:rsidRPr="007B03F8" w:rsidRDefault="00895297" w:rsidP="00895297">
      <w:pPr>
        <w:tabs>
          <w:tab w:val="left" w:pos="567"/>
          <w:tab w:val="left" w:pos="851"/>
        </w:tabs>
        <w:spacing w:line="480" w:lineRule="auto"/>
        <w:jc w:val="both"/>
        <w:rPr>
          <w:rFonts w:ascii="Arial Narrow" w:hAnsi="Arial Narrow"/>
          <w:b/>
        </w:rPr>
      </w:pPr>
      <w:r w:rsidRPr="007B03F8">
        <w:rPr>
          <w:rFonts w:ascii="Arial Narrow" w:hAnsi="Arial Narrow"/>
          <w:b/>
        </w:rPr>
        <w:tab/>
        <w:t>2.</w:t>
      </w:r>
      <w:r w:rsidRPr="007B03F8">
        <w:rPr>
          <w:rFonts w:ascii="Arial Narrow" w:hAnsi="Arial Narrow"/>
          <w:b/>
        </w:rPr>
        <w:tab/>
      </w:r>
      <w:r>
        <w:rPr>
          <w:rFonts w:ascii="Arial Narrow" w:hAnsi="Arial Narrow"/>
          <w:b/>
        </w:rPr>
        <w:t>The obligation to fight against terrorism</w:t>
      </w:r>
    </w:p>
    <w:p w14:paraId="7EEC4F1B" w14:textId="77777777" w:rsidR="00895297" w:rsidRPr="007B03F8" w:rsidRDefault="00895297" w:rsidP="00895297">
      <w:pPr>
        <w:spacing w:line="480" w:lineRule="auto"/>
        <w:jc w:val="both"/>
        <w:rPr>
          <w:rFonts w:ascii="Arial Narrow" w:hAnsi="Arial Narrow"/>
        </w:rPr>
      </w:pPr>
    </w:p>
    <w:p w14:paraId="4AA3AD2D" w14:textId="4367639D"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rPr>
        <w:tab/>
      </w:r>
      <w:r w:rsidR="008D4FE1">
        <w:rPr>
          <w:rFonts w:ascii="Arial Narrow" w:hAnsi="Arial Narrow"/>
        </w:rPr>
        <w:t>11</w:t>
      </w:r>
      <w:r w:rsidRPr="007B03F8">
        <w:rPr>
          <w:rFonts w:ascii="Arial Narrow" w:hAnsi="Arial Narrow"/>
        </w:rPr>
        <w:t>.  </w:t>
      </w:r>
      <w:r>
        <w:rPr>
          <w:rFonts w:ascii="Arial Narrow" w:hAnsi="Arial Narrow"/>
        </w:rPr>
        <w:t>There are two reasons supporting this obligation</w:t>
      </w:r>
      <w:r w:rsidR="006F19C8" w:rsidRPr="006F19C8">
        <w:rPr>
          <w:rStyle w:val="FootnoteReference"/>
          <w:rFonts w:ascii="Arial Narrow" w:hAnsi="Arial Narrow"/>
          <w:lang w:val="fr-FR"/>
        </w:rPr>
        <w:footnoteReference w:id="16"/>
      </w:r>
      <w:r>
        <w:rPr>
          <w:rFonts w:ascii="Arial Narrow" w:hAnsi="Arial Narrow"/>
        </w:rPr>
        <w:t xml:space="preserve"> and I will address them in turn</w:t>
      </w:r>
      <w:r w:rsidRPr="007B03F8">
        <w:rPr>
          <w:rFonts w:ascii="Arial Narrow" w:hAnsi="Arial Narrow"/>
        </w:rPr>
        <w:t xml:space="preserve">. </w:t>
      </w:r>
      <w:r>
        <w:rPr>
          <w:rFonts w:ascii="Arial Narrow" w:hAnsi="Arial Narrow"/>
        </w:rPr>
        <w:t>They</w:t>
      </w:r>
      <w:r w:rsidRPr="007B03F8">
        <w:rPr>
          <w:rFonts w:ascii="Arial Narrow" w:hAnsi="Arial Narrow"/>
        </w:rPr>
        <w:t> </w:t>
      </w:r>
      <w:r>
        <w:rPr>
          <w:rFonts w:ascii="Arial Narrow" w:hAnsi="Arial Narrow"/>
        </w:rPr>
        <w:t>emanate from the idea that the European Convention on Human Rights does not operate in a vacuum but in a given political and social context</w:t>
      </w:r>
      <w:r w:rsidRPr="007B03F8">
        <w:rPr>
          <w:rFonts w:ascii="Arial Narrow" w:hAnsi="Arial Narrow"/>
        </w:rPr>
        <w:t>.</w:t>
      </w:r>
    </w:p>
    <w:p w14:paraId="0437869F" w14:textId="77777777" w:rsidR="00895297" w:rsidRPr="007B03F8" w:rsidRDefault="00895297" w:rsidP="00895297">
      <w:pPr>
        <w:tabs>
          <w:tab w:val="left" w:pos="567"/>
          <w:tab w:val="left" w:pos="851"/>
        </w:tabs>
        <w:spacing w:line="480" w:lineRule="auto"/>
        <w:jc w:val="both"/>
        <w:rPr>
          <w:rFonts w:ascii="Arial Narrow" w:hAnsi="Arial Narrow"/>
        </w:rPr>
      </w:pPr>
    </w:p>
    <w:p w14:paraId="61342B1F" w14:textId="77777777" w:rsidR="00895297" w:rsidRPr="007B03F8" w:rsidRDefault="00895297" w:rsidP="006F19C8">
      <w:pPr>
        <w:widowControl w:val="0"/>
        <w:tabs>
          <w:tab w:val="left" w:pos="851"/>
        </w:tabs>
        <w:spacing w:line="480" w:lineRule="auto"/>
        <w:jc w:val="both"/>
        <w:rPr>
          <w:rFonts w:ascii="Arial Narrow" w:hAnsi="Arial Narrow"/>
          <w:b/>
          <w:i/>
        </w:rPr>
      </w:pPr>
      <w:r w:rsidRPr="007B03F8">
        <w:rPr>
          <w:rFonts w:ascii="Arial Narrow" w:hAnsi="Arial Narrow"/>
          <w:b/>
          <w:i/>
        </w:rPr>
        <w:tab/>
      </w:r>
      <w:r>
        <w:rPr>
          <w:rFonts w:ascii="Arial Narrow" w:hAnsi="Arial Narrow"/>
          <w:b/>
          <w:i/>
        </w:rPr>
        <w:t>The right to life</w:t>
      </w:r>
    </w:p>
    <w:p w14:paraId="2967284B" w14:textId="77777777" w:rsidR="00895297" w:rsidRPr="007B03F8" w:rsidRDefault="00895297" w:rsidP="00895297">
      <w:pPr>
        <w:tabs>
          <w:tab w:val="left" w:pos="851"/>
        </w:tabs>
        <w:spacing w:line="480" w:lineRule="auto"/>
        <w:jc w:val="both"/>
        <w:rPr>
          <w:rFonts w:ascii="Arial Narrow" w:hAnsi="Arial Narrow"/>
        </w:rPr>
      </w:pPr>
    </w:p>
    <w:p w14:paraId="75818B87" w14:textId="32E333DA"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rPr>
        <w:tab/>
      </w:r>
      <w:r w:rsidR="008D4FE1">
        <w:rPr>
          <w:rFonts w:ascii="Arial Narrow" w:hAnsi="Arial Narrow"/>
        </w:rPr>
        <w:t>12</w:t>
      </w:r>
      <w:r w:rsidRPr="007B03F8">
        <w:rPr>
          <w:rFonts w:ascii="Arial Narrow" w:hAnsi="Arial Narrow"/>
        </w:rPr>
        <w:t>.  </w:t>
      </w:r>
      <w:r>
        <w:rPr>
          <w:rFonts w:ascii="Arial Narrow" w:hAnsi="Arial Narrow"/>
        </w:rPr>
        <w:t>In the European Convention on Human Rights</w:t>
      </w:r>
      <w:r w:rsidRPr="007B03F8">
        <w:rPr>
          <w:rFonts w:ascii="Arial Narrow" w:hAnsi="Arial Narrow"/>
        </w:rPr>
        <w:t>,</w:t>
      </w:r>
      <w:r>
        <w:rPr>
          <w:rFonts w:ascii="Arial Narrow" w:hAnsi="Arial Narrow"/>
        </w:rPr>
        <w:t xml:space="preserve"> the right directly concerned with terrorism is the right to life enshrined in Article 2. “Everyone’s right to life shall be protected by the law”</w:t>
      </w:r>
      <w:r w:rsidRPr="007B03F8">
        <w:rPr>
          <w:rFonts w:ascii="Arial Narrow" w:hAnsi="Arial Narrow"/>
        </w:rPr>
        <w:t xml:space="preserve">, </w:t>
      </w:r>
      <w:r>
        <w:rPr>
          <w:rFonts w:ascii="Arial Narrow" w:hAnsi="Arial Narrow"/>
        </w:rPr>
        <w:t>says the text</w:t>
      </w:r>
      <w:r w:rsidRPr="007B03F8">
        <w:rPr>
          <w:rFonts w:ascii="Arial Narrow" w:hAnsi="Arial Narrow"/>
        </w:rPr>
        <w:t xml:space="preserve">. </w:t>
      </w:r>
      <w:r>
        <w:rPr>
          <w:rFonts w:ascii="Arial Narrow" w:hAnsi="Arial Narrow"/>
        </w:rPr>
        <w:t xml:space="preserve">This right is the primary source of the obligation, for the States, to protect against terrorist acts. In other words, the </w:t>
      </w:r>
      <w:r w:rsidRPr="001B4CF9">
        <w:rPr>
          <w:rFonts w:ascii="Arial Narrow" w:hAnsi="Arial Narrow"/>
        </w:rPr>
        <w:t>lawfulness of action to combat terrorism</w:t>
      </w:r>
      <w:r>
        <w:rPr>
          <w:rFonts w:ascii="Arial Narrow" w:hAnsi="Arial Narrow"/>
        </w:rPr>
        <w:t xml:space="preserve"> finds its justification in and is limited by the protection of the population’s right to life and thereby places it outside any abstraction such as the </w:t>
      </w:r>
      <w:r w:rsidRPr="004F10A7">
        <w:rPr>
          <w:rFonts w:ascii="Arial Narrow" w:hAnsi="Arial Narrow"/>
          <w:i/>
        </w:rPr>
        <w:t>raison d’</w:t>
      </w:r>
      <w:r>
        <w:rPr>
          <w:rFonts w:ascii="Arial Narrow" w:hAnsi="Arial Narrow"/>
          <w:i/>
        </w:rPr>
        <w:t>é</w:t>
      </w:r>
      <w:r w:rsidRPr="004F10A7">
        <w:rPr>
          <w:rFonts w:ascii="Arial Narrow" w:hAnsi="Arial Narrow"/>
          <w:i/>
        </w:rPr>
        <w:t>tat</w:t>
      </w:r>
      <w:r>
        <w:rPr>
          <w:rFonts w:ascii="Arial Narrow" w:hAnsi="Arial Narrow"/>
        </w:rPr>
        <w:t xml:space="preserve"> or national security</w:t>
      </w:r>
      <w:r w:rsidRPr="007B03F8">
        <w:rPr>
          <w:rStyle w:val="FootnoteReference"/>
          <w:rFonts w:ascii="Arial Narrow" w:hAnsi="Arial Narrow"/>
        </w:rPr>
        <w:footnoteReference w:id="17"/>
      </w:r>
      <w:r w:rsidRPr="007B03F8">
        <w:rPr>
          <w:rFonts w:ascii="Arial Narrow" w:hAnsi="Arial Narrow"/>
        </w:rPr>
        <w:t xml:space="preserve">. </w:t>
      </w:r>
    </w:p>
    <w:p w14:paraId="05D2A26C" w14:textId="77777777" w:rsidR="00895297" w:rsidRPr="007B03F8" w:rsidRDefault="00895297" w:rsidP="00895297">
      <w:pPr>
        <w:tabs>
          <w:tab w:val="left" w:pos="567"/>
        </w:tabs>
        <w:spacing w:line="480" w:lineRule="auto"/>
        <w:jc w:val="both"/>
        <w:rPr>
          <w:rFonts w:ascii="Arial Narrow" w:hAnsi="Arial Narrow"/>
        </w:rPr>
      </w:pPr>
    </w:p>
    <w:p w14:paraId="7CADBDC1" w14:textId="798DB061" w:rsidR="00895297" w:rsidRPr="00302421" w:rsidRDefault="00895297" w:rsidP="00895297">
      <w:pPr>
        <w:tabs>
          <w:tab w:val="left" w:pos="567"/>
        </w:tabs>
        <w:spacing w:line="480" w:lineRule="auto"/>
        <w:jc w:val="both"/>
      </w:pPr>
      <w:r w:rsidRPr="007B03F8">
        <w:rPr>
          <w:rFonts w:ascii="Arial Narrow" w:hAnsi="Arial Narrow"/>
        </w:rPr>
        <w:tab/>
        <w:t>1</w:t>
      </w:r>
      <w:r w:rsidR="008D4FE1">
        <w:rPr>
          <w:rFonts w:ascii="Arial Narrow" w:hAnsi="Arial Narrow"/>
        </w:rPr>
        <w:t>3</w:t>
      </w:r>
      <w:r w:rsidRPr="007B03F8">
        <w:rPr>
          <w:rFonts w:ascii="Arial Narrow" w:hAnsi="Arial Narrow"/>
        </w:rPr>
        <w:t>.  </w:t>
      </w:r>
      <w:r>
        <w:rPr>
          <w:rFonts w:ascii="Arial Narrow" w:hAnsi="Arial Narrow"/>
        </w:rPr>
        <w:t xml:space="preserve">The principle that States are required to take all reasonable steps to protect </w:t>
      </w:r>
      <w:r w:rsidRPr="004F10A7">
        <w:rPr>
          <w:rFonts w:ascii="Arial Narrow" w:hAnsi="Arial Narrow"/>
        </w:rPr>
        <w:t>persons under their jurisdiction</w:t>
      </w:r>
      <w:r>
        <w:rPr>
          <w:rFonts w:ascii="Arial Narrow" w:hAnsi="Arial Narrow"/>
        </w:rPr>
        <w:t xml:space="preserve"> from </w:t>
      </w:r>
      <w:r w:rsidRPr="0084077A">
        <w:rPr>
          <w:rFonts w:ascii="Arial Narrow" w:hAnsi="Arial Narrow"/>
        </w:rPr>
        <w:t>life-endangering offences</w:t>
      </w:r>
      <w:r>
        <w:rPr>
          <w:rFonts w:ascii="Arial Narrow" w:hAnsi="Arial Narrow"/>
        </w:rPr>
        <w:t xml:space="preserve"> is a principle that is recognized in the European Court of Human Rights’ jurisprudence</w:t>
      </w:r>
      <w:r w:rsidRPr="007B03F8">
        <w:rPr>
          <w:rFonts w:ascii="Arial Narrow" w:hAnsi="Arial Narrow"/>
        </w:rPr>
        <w:t xml:space="preserve">. </w:t>
      </w:r>
      <w:r>
        <w:rPr>
          <w:rFonts w:ascii="Arial Narrow" w:hAnsi="Arial Narrow"/>
        </w:rPr>
        <w:t>The</w:t>
      </w:r>
      <w:r w:rsidRPr="007B03F8">
        <w:rPr>
          <w:rFonts w:ascii="Arial Narrow" w:hAnsi="Arial Narrow"/>
        </w:rPr>
        <w:t xml:space="preserve"> </w:t>
      </w:r>
      <w:r>
        <w:rPr>
          <w:rFonts w:ascii="Arial Narrow" w:hAnsi="Arial Narrow"/>
          <w:i/>
        </w:rPr>
        <w:t>Osman v</w:t>
      </w:r>
      <w:r w:rsidRPr="007B03F8">
        <w:rPr>
          <w:rFonts w:ascii="Arial Narrow" w:hAnsi="Arial Narrow"/>
          <w:i/>
        </w:rPr>
        <w:t xml:space="preserve">. </w:t>
      </w:r>
      <w:r>
        <w:rPr>
          <w:rFonts w:ascii="Arial Narrow" w:hAnsi="Arial Narrow"/>
          <w:i/>
        </w:rPr>
        <w:t xml:space="preserve">the United Kingdom </w:t>
      </w:r>
      <w:r>
        <w:rPr>
          <w:rFonts w:ascii="Arial Narrow" w:hAnsi="Arial Narrow"/>
        </w:rPr>
        <w:t>judgment of</w:t>
      </w:r>
      <w:r w:rsidRPr="007B03F8">
        <w:rPr>
          <w:rFonts w:ascii="Arial Narrow" w:hAnsi="Arial Narrow"/>
        </w:rPr>
        <w:t xml:space="preserve"> 28 </w:t>
      </w:r>
      <w:r>
        <w:rPr>
          <w:rFonts w:ascii="Arial Narrow" w:hAnsi="Arial Narrow"/>
        </w:rPr>
        <w:t>October</w:t>
      </w:r>
      <w:r w:rsidRPr="007B03F8">
        <w:rPr>
          <w:rFonts w:ascii="Arial Narrow" w:hAnsi="Arial Narrow"/>
        </w:rPr>
        <w:t xml:space="preserve"> 1998 </w:t>
      </w:r>
      <w:r w:rsidR="00E91C31">
        <w:rPr>
          <w:rFonts w:ascii="Arial Narrow" w:hAnsi="Arial Narrow"/>
        </w:rPr>
        <w:t>extends</w:t>
      </w:r>
      <w:r>
        <w:rPr>
          <w:rFonts w:ascii="Arial Narrow" w:hAnsi="Arial Narrow"/>
        </w:rPr>
        <w:t xml:space="preserve"> its scope</w:t>
      </w:r>
      <w:r w:rsidRPr="007B03F8">
        <w:rPr>
          <w:rFonts w:ascii="Arial Narrow" w:hAnsi="Arial Narrow"/>
        </w:rPr>
        <w:t>:</w:t>
      </w:r>
      <w:r>
        <w:rPr>
          <w:rFonts w:ascii="Arial Narrow" w:hAnsi="Arial Narrow"/>
        </w:rPr>
        <w:t xml:space="preserve"> “It is common ground that the S</w:t>
      </w:r>
      <w:r w:rsidRPr="00302421">
        <w:rPr>
          <w:rFonts w:ascii="Arial Narrow" w:hAnsi="Arial Narrow"/>
        </w:rPr>
        <w:t xml:space="preserve">tate’s obligation in this respect extends beyond its primary duty to secure the right to life by putting in place effective criminal-law provisions to deter the commission of offences against the person </w:t>
      </w:r>
      <w:r>
        <w:rPr>
          <w:rFonts w:ascii="Arial Narrow" w:hAnsi="Arial Narrow"/>
        </w:rPr>
        <w:t>…</w:t>
      </w:r>
      <w:r w:rsidRPr="00302421">
        <w:rPr>
          <w:rFonts w:ascii="Arial Narrow" w:hAnsi="Arial Narrow"/>
        </w:rPr>
        <w:t xml:space="preserve"> Article 2 of the Convention may also imply in certain well-defined circumstances a positive obligation on the authorities to take preventive operational measures to protect an individual whose life is at risk from the criminal acts of another individual”</w:t>
      </w:r>
      <w:r w:rsidRPr="007B03F8">
        <w:rPr>
          <w:rStyle w:val="FootnoteReference"/>
          <w:rFonts w:ascii="Arial Narrow" w:hAnsi="Arial Narrow"/>
        </w:rPr>
        <w:footnoteReference w:id="18"/>
      </w:r>
      <w:r w:rsidRPr="007B03F8">
        <w:rPr>
          <w:rFonts w:ascii="Arial Narrow" w:hAnsi="Arial Narrow"/>
        </w:rPr>
        <w:t xml:space="preserve">. </w:t>
      </w:r>
    </w:p>
    <w:p w14:paraId="3055A1FB" w14:textId="77777777" w:rsidR="00895297" w:rsidRPr="007B03F8" w:rsidRDefault="00895297" w:rsidP="00895297">
      <w:pPr>
        <w:tabs>
          <w:tab w:val="left" w:pos="567"/>
        </w:tabs>
        <w:spacing w:line="480" w:lineRule="auto"/>
        <w:jc w:val="both"/>
        <w:rPr>
          <w:rFonts w:ascii="Arial Narrow" w:hAnsi="Arial Narrow"/>
        </w:rPr>
      </w:pPr>
    </w:p>
    <w:p w14:paraId="6033E03D" w14:textId="64A9A0F9" w:rsidR="00895297" w:rsidRDefault="00895297" w:rsidP="00895297">
      <w:pPr>
        <w:tabs>
          <w:tab w:val="left" w:pos="567"/>
        </w:tabs>
        <w:spacing w:line="480" w:lineRule="auto"/>
        <w:jc w:val="both"/>
        <w:rPr>
          <w:rFonts w:ascii="Arial Narrow" w:hAnsi="Arial Narrow"/>
        </w:rPr>
      </w:pPr>
      <w:r w:rsidRPr="007B03F8">
        <w:rPr>
          <w:rFonts w:ascii="Arial Narrow" w:hAnsi="Arial Narrow"/>
        </w:rPr>
        <w:tab/>
        <w:t>1</w:t>
      </w:r>
      <w:r w:rsidR="008D4FE1">
        <w:rPr>
          <w:rFonts w:ascii="Arial Narrow" w:hAnsi="Arial Narrow"/>
        </w:rPr>
        <w:t>4</w:t>
      </w:r>
      <w:r w:rsidRPr="007B03F8">
        <w:rPr>
          <w:rFonts w:ascii="Arial Narrow" w:hAnsi="Arial Narrow"/>
        </w:rPr>
        <w:t>.  </w:t>
      </w:r>
      <w:r>
        <w:rPr>
          <w:rFonts w:ascii="Arial Narrow" w:hAnsi="Arial Narrow"/>
        </w:rPr>
        <w:t>Therefore, when it comes to terrorism, the positive obligation for the States may be to put in place, in certain circumstances, effective prevention strategies</w:t>
      </w:r>
      <w:r w:rsidRPr="007B03F8">
        <w:rPr>
          <w:rFonts w:ascii="Arial Narrow" w:hAnsi="Arial Narrow"/>
        </w:rPr>
        <w:t>.</w:t>
      </w:r>
      <w:r>
        <w:rPr>
          <w:rFonts w:ascii="Arial Narrow" w:hAnsi="Arial Narrow"/>
        </w:rPr>
        <w:t xml:space="preserve"> The Court will soon have to </w:t>
      </w:r>
      <w:r w:rsidR="00E91C31">
        <w:rPr>
          <w:rFonts w:ascii="Arial Narrow" w:hAnsi="Arial Narrow"/>
        </w:rPr>
        <w:t>clarify</w:t>
      </w:r>
      <w:r>
        <w:rPr>
          <w:rFonts w:ascii="Arial Narrow" w:hAnsi="Arial Narrow"/>
        </w:rPr>
        <w:t xml:space="preserve"> the scope of the positive obligation of prevention</w:t>
      </w:r>
      <w:r w:rsidRPr="007B03F8">
        <w:rPr>
          <w:rFonts w:ascii="Arial Narrow" w:hAnsi="Arial Narrow"/>
        </w:rPr>
        <w:t xml:space="preserve"> </w:t>
      </w:r>
      <w:r>
        <w:rPr>
          <w:rFonts w:ascii="Arial Narrow" w:hAnsi="Arial Narrow"/>
        </w:rPr>
        <w:t>in the case of</w:t>
      </w:r>
      <w:r w:rsidRPr="007B03F8">
        <w:rPr>
          <w:rFonts w:ascii="Arial Narrow" w:hAnsi="Arial Narrow"/>
        </w:rPr>
        <w:t xml:space="preserve"> </w:t>
      </w:r>
      <w:r w:rsidRPr="007B03F8">
        <w:rPr>
          <w:rFonts w:ascii="Arial Narrow" w:hAnsi="Arial Narrow"/>
          <w:i/>
        </w:rPr>
        <w:t xml:space="preserve">Tagayeva </w:t>
      </w:r>
      <w:r>
        <w:rPr>
          <w:rFonts w:ascii="Arial Narrow" w:hAnsi="Arial Narrow"/>
          <w:i/>
        </w:rPr>
        <w:t xml:space="preserve">and Others v. Russia </w:t>
      </w:r>
      <w:r>
        <w:rPr>
          <w:rFonts w:ascii="Arial Narrow" w:hAnsi="Arial Narrow"/>
        </w:rPr>
        <w:t xml:space="preserve">which is currently pending and which concerns the hostage-taking at the Beslan school by </w:t>
      </w:r>
      <w:r w:rsidRPr="00DD10BD">
        <w:rPr>
          <w:rFonts w:ascii="Arial Narrow" w:hAnsi="Arial Narrow"/>
        </w:rPr>
        <w:t xml:space="preserve">a group of heavily armed terrorists </w:t>
      </w:r>
      <w:r>
        <w:rPr>
          <w:rFonts w:ascii="Arial Narrow" w:hAnsi="Arial Narrow"/>
        </w:rPr>
        <w:t>arriving</w:t>
      </w:r>
      <w:r w:rsidRPr="00DD10BD">
        <w:rPr>
          <w:rFonts w:ascii="Arial Narrow" w:hAnsi="Arial Narrow"/>
        </w:rPr>
        <w:t xml:space="preserve"> from</w:t>
      </w:r>
      <w:r>
        <w:rPr>
          <w:rFonts w:ascii="Arial Narrow" w:hAnsi="Arial Narrow"/>
        </w:rPr>
        <w:t xml:space="preserve"> </w:t>
      </w:r>
      <w:r w:rsidRPr="00DD10BD">
        <w:rPr>
          <w:rFonts w:ascii="Arial Narrow" w:hAnsi="Arial Narrow"/>
        </w:rPr>
        <w:t xml:space="preserve">neighbouring Ingushetia </w:t>
      </w:r>
      <w:r>
        <w:rPr>
          <w:rFonts w:ascii="Arial Narrow" w:hAnsi="Arial Narrow"/>
        </w:rPr>
        <w:t xml:space="preserve">in September </w:t>
      </w:r>
      <w:r w:rsidRPr="007B03F8">
        <w:rPr>
          <w:rFonts w:ascii="Arial Narrow" w:hAnsi="Arial Narrow"/>
        </w:rPr>
        <w:t xml:space="preserve">2004. </w:t>
      </w:r>
      <w:r>
        <w:rPr>
          <w:rFonts w:ascii="Arial Narrow" w:hAnsi="Arial Narrow"/>
        </w:rPr>
        <w:t xml:space="preserve">The applicants in this case complain of the lack of preventive measures in spite of the fact that intelligence services were aware of the risk of terrorist attacks and of the presence of terrorists within the area. </w:t>
      </w:r>
    </w:p>
    <w:p w14:paraId="412E7DFE" w14:textId="77777777" w:rsidR="00895297" w:rsidRPr="007B03F8" w:rsidRDefault="00895297" w:rsidP="00895297">
      <w:pPr>
        <w:tabs>
          <w:tab w:val="left" w:pos="567"/>
        </w:tabs>
        <w:spacing w:line="480" w:lineRule="auto"/>
        <w:jc w:val="both"/>
        <w:rPr>
          <w:rFonts w:ascii="Arial Narrow" w:hAnsi="Arial Narrow" w:cs="Arabic Typesetting"/>
        </w:rPr>
      </w:pPr>
    </w:p>
    <w:p w14:paraId="34FF2CD9" w14:textId="14C7A12B" w:rsidR="00A1774A" w:rsidRDefault="00895297" w:rsidP="00895297">
      <w:pPr>
        <w:tabs>
          <w:tab w:val="left" w:pos="567"/>
        </w:tabs>
        <w:spacing w:line="480" w:lineRule="auto"/>
        <w:jc w:val="both"/>
        <w:rPr>
          <w:rFonts w:ascii="Arial Narrow" w:hAnsi="Arial Narrow" w:cs="Arabic Typesetting"/>
        </w:rPr>
      </w:pPr>
      <w:r w:rsidRPr="007B03F8">
        <w:rPr>
          <w:rFonts w:ascii="Arial Narrow" w:hAnsi="Arial Narrow" w:cs="Arabic Typesetting"/>
        </w:rPr>
        <w:tab/>
      </w:r>
      <w:r w:rsidRPr="007B03F8">
        <w:rPr>
          <w:rFonts w:ascii="Arial Narrow" w:hAnsi="Arial Narrow"/>
        </w:rPr>
        <w:t>1</w:t>
      </w:r>
      <w:r w:rsidR="008D4FE1">
        <w:rPr>
          <w:rFonts w:ascii="Arial Narrow" w:hAnsi="Arial Narrow"/>
        </w:rPr>
        <w:t>5</w:t>
      </w:r>
      <w:r w:rsidRPr="007B03F8">
        <w:rPr>
          <w:rFonts w:ascii="Arial Narrow" w:hAnsi="Arial Narrow"/>
        </w:rPr>
        <w:t>.  </w:t>
      </w:r>
      <w:r>
        <w:rPr>
          <w:rFonts w:ascii="Arial Narrow" w:hAnsi="Arial Narrow" w:cs="Arabic Typesetting"/>
        </w:rPr>
        <w:t>Furthermore</w:t>
      </w:r>
      <w:r w:rsidRPr="007B03F8">
        <w:rPr>
          <w:rFonts w:ascii="Arial Narrow" w:hAnsi="Arial Narrow" w:cs="Arabic Typesetting"/>
        </w:rPr>
        <w:t>,</w:t>
      </w:r>
      <w:r>
        <w:rPr>
          <w:rFonts w:ascii="Arial Narrow" w:hAnsi="Arial Narrow" w:cs="Arabic Typesetting"/>
        </w:rPr>
        <w:t xml:space="preserve"> when counter-terrorism measures are justified</w:t>
      </w:r>
      <w:r w:rsidRPr="007B03F8">
        <w:rPr>
          <w:rFonts w:ascii="Arial Narrow" w:hAnsi="Arial Narrow" w:cs="Arabic Typesetting"/>
        </w:rPr>
        <w:t>,</w:t>
      </w:r>
      <w:r>
        <w:rPr>
          <w:rFonts w:ascii="Arial Narrow" w:hAnsi="Arial Narrow" w:cs="Arabic Typesetting"/>
        </w:rPr>
        <w:t xml:space="preserve"> the State is required to organise them in such a way as to minimise the risk to life.</w:t>
      </w:r>
      <w:r w:rsidRPr="007B03F8">
        <w:rPr>
          <w:rFonts w:ascii="Arial Narrow" w:hAnsi="Arial Narrow" w:cs="Arabic Typesetting"/>
        </w:rPr>
        <w:t xml:space="preserve"> </w:t>
      </w:r>
      <w:r>
        <w:rPr>
          <w:rFonts w:ascii="Arial Narrow" w:hAnsi="Arial Narrow"/>
        </w:rPr>
        <w:t>The</w:t>
      </w:r>
      <w:r w:rsidRPr="007B03F8">
        <w:rPr>
          <w:rFonts w:ascii="Arial Narrow" w:hAnsi="Arial Narrow" w:cs="Arabic Typesetting"/>
        </w:rPr>
        <w:t xml:space="preserve"> </w:t>
      </w:r>
      <w:r w:rsidRPr="007B03F8">
        <w:rPr>
          <w:rFonts w:ascii="Arial Narrow" w:hAnsi="Arial Narrow" w:cs="Arabic Typesetting"/>
          <w:i/>
        </w:rPr>
        <w:t xml:space="preserve">Finogenov </w:t>
      </w:r>
      <w:r>
        <w:rPr>
          <w:rFonts w:ascii="Arial Narrow" w:hAnsi="Arial Narrow" w:cs="Arabic Typesetting"/>
          <w:i/>
        </w:rPr>
        <w:t>and Others v. Russia</w:t>
      </w:r>
      <w:r w:rsidRPr="007B03F8">
        <w:rPr>
          <w:rFonts w:ascii="Arial Narrow" w:hAnsi="Arial Narrow" w:cs="Arabic Typesetting"/>
          <w:i/>
        </w:rPr>
        <w:t xml:space="preserve"> </w:t>
      </w:r>
      <w:r>
        <w:rPr>
          <w:rFonts w:ascii="Arial Narrow" w:hAnsi="Arial Narrow" w:cs="Arabic Typesetting"/>
        </w:rPr>
        <w:t>judgment of</w:t>
      </w:r>
      <w:r w:rsidRPr="007B03F8">
        <w:rPr>
          <w:rFonts w:ascii="Arial Narrow" w:hAnsi="Arial Narrow" w:cs="Arabic Typesetting"/>
        </w:rPr>
        <w:t xml:space="preserve"> 20 </w:t>
      </w:r>
      <w:r>
        <w:rPr>
          <w:rFonts w:ascii="Arial Narrow" w:hAnsi="Arial Narrow" w:cs="Arabic Typesetting"/>
        </w:rPr>
        <w:t>December</w:t>
      </w:r>
      <w:r w:rsidRPr="007B03F8">
        <w:rPr>
          <w:rFonts w:ascii="Arial Narrow" w:hAnsi="Arial Narrow" w:cs="Arabic Typesetting"/>
        </w:rPr>
        <w:t xml:space="preserve"> 2011 </w:t>
      </w:r>
      <w:r>
        <w:rPr>
          <w:rFonts w:ascii="Arial Narrow" w:hAnsi="Arial Narrow" w:cs="Arabic Typesetting"/>
        </w:rPr>
        <w:t xml:space="preserve">which </w:t>
      </w:r>
      <w:r w:rsidRPr="002B21D0">
        <w:rPr>
          <w:rFonts w:ascii="Arial Narrow" w:hAnsi="Arial Narrow" w:cs="Arabic Typesetting"/>
        </w:rPr>
        <w:t xml:space="preserve">concerned the siege in October 2002 of the “Dubrovka” theatre in Moscow by Chechen separatists </w:t>
      </w:r>
      <w:r>
        <w:rPr>
          <w:rFonts w:ascii="Arial Narrow" w:hAnsi="Arial Narrow" w:cs="Arabic Typesetting"/>
        </w:rPr>
        <w:t xml:space="preserve">extends the </w:t>
      </w:r>
      <w:r w:rsidRPr="002B21D0">
        <w:rPr>
          <w:rFonts w:ascii="Arial Narrow" w:hAnsi="Arial Narrow" w:cs="Arabic Typesetting"/>
          <w:i/>
        </w:rPr>
        <w:t>McCann and Others v. the United Kingdom</w:t>
      </w:r>
      <w:r>
        <w:rPr>
          <w:rFonts w:ascii="Arial Narrow" w:hAnsi="Arial Narrow" w:cs="Arabic Typesetting"/>
        </w:rPr>
        <w:t xml:space="preserve"> case-law</w:t>
      </w:r>
      <w:r w:rsidRPr="007B03F8">
        <w:rPr>
          <w:rStyle w:val="FootnoteReference"/>
          <w:rFonts w:ascii="Arial Narrow" w:hAnsi="Arial Narrow"/>
        </w:rPr>
        <w:footnoteReference w:id="19"/>
      </w:r>
      <w:r w:rsidRPr="007B03F8">
        <w:rPr>
          <w:rFonts w:ascii="Arial Narrow" w:hAnsi="Arial Narrow" w:cs="Arabic Typesetting"/>
        </w:rPr>
        <w:t xml:space="preserve">. </w:t>
      </w:r>
      <w:r>
        <w:rPr>
          <w:rFonts w:ascii="Arial Narrow" w:hAnsi="Arial Narrow" w:cs="Arabic Typesetting"/>
        </w:rPr>
        <w:t xml:space="preserve">The police had decided </w:t>
      </w:r>
      <w:r w:rsidRPr="006E4317">
        <w:rPr>
          <w:rFonts w:ascii="Arial Narrow" w:hAnsi="Arial Narrow" w:cs="Arabic Typesetting"/>
        </w:rPr>
        <w:t>to overcome the terrorists and liberate the hostages using gas</w:t>
      </w:r>
      <w:r>
        <w:rPr>
          <w:rFonts w:ascii="Arial Narrow" w:hAnsi="Arial Narrow" w:cs="Arabic Typesetting"/>
        </w:rPr>
        <w:t xml:space="preserve">. </w:t>
      </w:r>
      <w:r w:rsidRPr="002B21D0">
        <w:rPr>
          <w:rFonts w:ascii="Arial Narrow" w:hAnsi="Arial Narrow" w:cs="Arabic Typesetting"/>
        </w:rPr>
        <w:t xml:space="preserve">The Court </w:t>
      </w:r>
      <w:r>
        <w:rPr>
          <w:rFonts w:ascii="Arial Narrow" w:hAnsi="Arial Narrow" w:cs="Arabic Typesetting"/>
        </w:rPr>
        <w:t>found that the u</w:t>
      </w:r>
      <w:r w:rsidRPr="006E4317">
        <w:rPr>
          <w:rFonts w:ascii="Arial Narrow" w:hAnsi="Arial Narrow" w:cs="Arabic Typesetting"/>
        </w:rPr>
        <w:t xml:space="preserve">se of gas against </w:t>
      </w:r>
      <w:r>
        <w:rPr>
          <w:rFonts w:ascii="Arial Narrow" w:hAnsi="Arial Narrow" w:cs="Arabic Typesetting"/>
        </w:rPr>
        <w:t xml:space="preserve">the </w:t>
      </w:r>
      <w:r w:rsidRPr="006E4317">
        <w:rPr>
          <w:rFonts w:ascii="Arial Narrow" w:hAnsi="Arial Narrow" w:cs="Arabic Typesetting"/>
        </w:rPr>
        <w:t>terrorists during the theatre siege was justified</w:t>
      </w:r>
      <w:r>
        <w:rPr>
          <w:rFonts w:ascii="Arial Narrow" w:hAnsi="Arial Narrow" w:cs="Arabic Typesetting"/>
        </w:rPr>
        <w:t xml:space="preserve"> and therefore held that there had been no substantive violation of the right to life </w:t>
      </w:r>
      <w:r w:rsidRPr="006E4317">
        <w:rPr>
          <w:rFonts w:ascii="Arial Narrow" w:hAnsi="Arial Narrow" w:cs="Arabic Typesetting"/>
        </w:rPr>
        <w:t>concerning the decision to resolve the hostage crisis by force and use gas</w:t>
      </w:r>
      <w:r w:rsidRPr="007B03F8">
        <w:rPr>
          <w:rStyle w:val="FootnoteReference"/>
          <w:rFonts w:ascii="Arial Narrow" w:hAnsi="Arial Narrow"/>
        </w:rPr>
        <w:footnoteReference w:id="20"/>
      </w:r>
      <w:r>
        <w:rPr>
          <w:rFonts w:ascii="Arial Narrow" w:hAnsi="Arial Narrow" w:cs="Arabic Typesetting"/>
        </w:rPr>
        <w:t>. But it held that there had been a procedural violation of the right to life on account of</w:t>
      </w:r>
      <w:r w:rsidRPr="0093428E">
        <w:rPr>
          <w:rFonts w:ascii="Arial Narrow" w:hAnsi="Arial Narrow" w:cs="Arabic Typesetting"/>
        </w:rPr>
        <w:t xml:space="preserve"> the inadequate planning and implementation of the rescue operation</w:t>
      </w:r>
      <w:r>
        <w:rPr>
          <w:rFonts w:ascii="Arial Narrow" w:hAnsi="Arial Narrow" w:cs="Arabic Typesetting"/>
        </w:rPr>
        <w:t xml:space="preserve"> as well as of </w:t>
      </w:r>
      <w:r w:rsidRPr="00E614A2">
        <w:rPr>
          <w:rFonts w:ascii="Arial Narrow" w:hAnsi="Arial Narrow" w:cs="Arabic Typesetting"/>
        </w:rPr>
        <w:t>the lack of medical assistance to hostages</w:t>
      </w:r>
      <w:r>
        <w:rPr>
          <w:rFonts w:ascii="Arial Narrow" w:hAnsi="Arial Narrow" w:cs="Arabic Typesetting"/>
        </w:rPr>
        <w:t xml:space="preserve"> and the </w:t>
      </w:r>
      <w:r w:rsidRPr="00E614A2">
        <w:rPr>
          <w:rFonts w:ascii="Arial Narrow" w:hAnsi="Arial Narrow" w:cs="Arabic Typesetting"/>
        </w:rPr>
        <w:t>ineffectiveness of the investigation into the allegations of the authorities’ negligence</w:t>
      </w:r>
      <w:r w:rsidRPr="007B03F8">
        <w:rPr>
          <w:rStyle w:val="FootnoteReference"/>
          <w:rFonts w:ascii="Arial Narrow" w:hAnsi="Arial Narrow"/>
        </w:rPr>
        <w:footnoteReference w:id="21"/>
      </w:r>
      <w:r w:rsidRPr="007B03F8">
        <w:rPr>
          <w:rFonts w:ascii="Arial Narrow" w:hAnsi="Arial Narrow" w:cs="Arabic Typesetting"/>
        </w:rPr>
        <w:t xml:space="preserve">. </w:t>
      </w:r>
    </w:p>
    <w:p w14:paraId="0757AD98" w14:textId="77777777" w:rsidR="00A1774A" w:rsidRDefault="00A1774A" w:rsidP="00895297">
      <w:pPr>
        <w:tabs>
          <w:tab w:val="left" w:pos="567"/>
        </w:tabs>
        <w:spacing w:line="480" w:lineRule="auto"/>
        <w:jc w:val="both"/>
        <w:rPr>
          <w:rFonts w:ascii="Arial Narrow" w:hAnsi="Arial Narrow" w:cs="Arabic Typesetting"/>
        </w:rPr>
      </w:pPr>
    </w:p>
    <w:p w14:paraId="2FA46073" w14:textId="4C0695F2" w:rsidR="00895297" w:rsidRPr="007B03F8" w:rsidRDefault="00A1774A" w:rsidP="00895297">
      <w:pPr>
        <w:tabs>
          <w:tab w:val="left" w:pos="567"/>
        </w:tabs>
        <w:spacing w:line="480" w:lineRule="auto"/>
        <w:jc w:val="both"/>
        <w:rPr>
          <w:rFonts w:ascii="Arial Narrow" w:hAnsi="Arial Narrow" w:cs="Arabic Typesetting"/>
        </w:rPr>
      </w:pPr>
      <w:r>
        <w:rPr>
          <w:rFonts w:ascii="Arial Narrow" w:hAnsi="Arial Narrow" w:cs="Arabic Typesetting"/>
        </w:rPr>
        <w:tab/>
        <w:t>1</w:t>
      </w:r>
      <w:r w:rsidR="008D4FE1">
        <w:rPr>
          <w:rFonts w:ascii="Arial Narrow" w:hAnsi="Arial Narrow" w:cs="Arabic Typesetting"/>
        </w:rPr>
        <w:t>6.  </w:t>
      </w:r>
      <w:r w:rsidR="00895297">
        <w:rPr>
          <w:rFonts w:ascii="Arial Narrow" w:hAnsi="Arial Narrow" w:cs="Arabic Typesetting"/>
        </w:rPr>
        <w:t>In contrast</w:t>
      </w:r>
      <w:r w:rsidR="00895297" w:rsidRPr="007B03F8">
        <w:rPr>
          <w:rFonts w:ascii="Arial Narrow" w:hAnsi="Arial Narrow" w:cs="Arabic Typesetting"/>
        </w:rPr>
        <w:t>,</w:t>
      </w:r>
      <w:r w:rsidR="00895297">
        <w:rPr>
          <w:rFonts w:ascii="Arial Narrow" w:hAnsi="Arial Narrow" w:cs="Arabic Typesetting"/>
        </w:rPr>
        <w:t xml:space="preserve"> in the</w:t>
      </w:r>
      <w:r w:rsidR="00895297" w:rsidRPr="007B03F8">
        <w:rPr>
          <w:rFonts w:ascii="Arial Narrow" w:hAnsi="Arial Narrow" w:cs="Arabic Typesetting"/>
        </w:rPr>
        <w:t xml:space="preserve"> </w:t>
      </w:r>
      <w:r w:rsidR="00895297">
        <w:rPr>
          <w:rFonts w:ascii="Arial Narrow" w:hAnsi="Arial Narrow" w:cs="Arabic Typesetting"/>
        </w:rPr>
        <w:t>Grand Chamber judgment</w:t>
      </w:r>
      <w:r w:rsidR="00895297" w:rsidRPr="007B03F8">
        <w:rPr>
          <w:rFonts w:ascii="Arial Narrow" w:hAnsi="Arial Narrow" w:cs="Arabic Typesetting"/>
        </w:rPr>
        <w:t xml:space="preserve"> </w:t>
      </w:r>
      <w:r w:rsidR="00895297" w:rsidRPr="007B03F8">
        <w:rPr>
          <w:rFonts w:ascii="Arial Narrow" w:hAnsi="Arial Narrow" w:cs="Arabic Typesetting"/>
          <w:i/>
        </w:rPr>
        <w:t xml:space="preserve">Armani da Silva </w:t>
      </w:r>
      <w:r w:rsidR="00895297">
        <w:rPr>
          <w:rFonts w:ascii="Arial Narrow" w:hAnsi="Arial Narrow" w:cs="Arabic Typesetting"/>
          <w:i/>
        </w:rPr>
        <w:t>v</w:t>
      </w:r>
      <w:r w:rsidR="00895297" w:rsidRPr="007B03F8">
        <w:rPr>
          <w:rFonts w:ascii="Arial Narrow" w:hAnsi="Arial Narrow" w:cs="Arabic Typesetting"/>
          <w:i/>
        </w:rPr>
        <w:t xml:space="preserve">. </w:t>
      </w:r>
      <w:r w:rsidR="00895297">
        <w:rPr>
          <w:rFonts w:ascii="Arial Narrow" w:hAnsi="Arial Narrow" w:cs="Arabic Typesetting"/>
          <w:i/>
        </w:rPr>
        <w:t>the United Kingdom</w:t>
      </w:r>
      <w:r w:rsidR="00895297" w:rsidRPr="007B03F8">
        <w:rPr>
          <w:rFonts w:ascii="Arial Narrow" w:hAnsi="Arial Narrow" w:cs="Arabic Typesetting"/>
        </w:rPr>
        <w:t xml:space="preserve"> </w:t>
      </w:r>
      <w:r w:rsidR="00895297">
        <w:rPr>
          <w:rFonts w:ascii="Arial Narrow" w:hAnsi="Arial Narrow" w:cs="Arabic Typesetting"/>
        </w:rPr>
        <w:t>of 30</w:t>
      </w:r>
      <w:r w:rsidR="00895297" w:rsidRPr="007B03F8">
        <w:rPr>
          <w:rFonts w:ascii="Arial Narrow" w:hAnsi="Arial Narrow" w:cs="Arabic Typesetting"/>
        </w:rPr>
        <w:t> </w:t>
      </w:r>
      <w:r w:rsidR="00895297">
        <w:rPr>
          <w:rFonts w:ascii="Arial Narrow" w:hAnsi="Arial Narrow" w:cs="Arabic Typesetting"/>
        </w:rPr>
        <w:t>March</w:t>
      </w:r>
      <w:r w:rsidR="00895297" w:rsidRPr="007B03F8">
        <w:rPr>
          <w:rFonts w:ascii="Arial Narrow" w:hAnsi="Arial Narrow" w:cs="Arabic Typesetting"/>
        </w:rPr>
        <w:t xml:space="preserve"> 2016</w:t>
      </w:r>
      <w:r w:rsidR="00895297">
        <w:rPr>
          <w:rFonts w:ascii="Arial Narrow" w:hAnsi="Arial Narrow" w:cs="Arabic Typesetting"/>
        </w:rPr>
        <w:t xml:space="preserve"> concerning</w:t>
      </w:r>
      <w:r w:rsidR="00895297" w:rsidRPr="007B03F8">
        <w:rPr>
          <w:rFonts w:ascii="Arial Narrow" w:hAnsi="Arial Narrow" w:cs="Arabic Typesetting"/>
        </w:rPr>
        <w:t xml:space="preserve"> </w:t>
      </w:r>
      <w:r w:rsidR="00895297" w:rsidRPr="0018247F">
        <w:rPr>
          <w:rFonts w:ascii="Arial Narrow" w:hAnsi="Arial Narrow" w:cs="Arabic Typesetting"/>
        </w:rPr>
        <w:t>the fatal shooting of a Brazilian national mistakenly identified by the police as a suicide bomber</w:t>
      </w:r>
      <w:r w:rsidR="00895297">
        <w:rPr>
          <w:rFonts w:ascii="Arial Narrow" w:hAnsi="Arial Narrow" w:cs="Arabic Typesetting"/>
        </w:rPr>
        <w:t xml:space="preserve">, </w:t>
      </w:r>
      <w:r w:rsidR="00895297" w:rsidRPr="0018247F">
        <w:rPr>
          <w:rFonts w:ascii="Arial Narrow" w:hAnsi="Arial Narrow" w:cs="Arabic Typesetting"/>
        </w:rPr>
        <w:t>the Court found</w:t>
      </w:r>
      <w:r w:rsidR="00E91C31">
        <w:rPr>
          <w:rFonts w:ascii="Arial Narrow" w:hAnsi="Arial Narrow" w:cs="Arabic Typesetting"/>
        </w:rPr>
        <w:t>, h</w:t>
      </w:r>
      <w:r w:rsidR="00E91C31" w:rsidRPr="0018247F">
        <w:rPr>
          <w:rFonts w:ascii="Arial Narrow" w:hAnsi="Arial Narrow" w:cs="Arabic Typesetting"/>
        </w:rPr>
        <w:t>aving regard</w:t>
      </w:r>
      <w:r w:rsidR="00E91C31">
        <w:rPr>
          <w:rFonts w:ascii="Arial Narrow" w:hAnsi="Arial Narrow" w:cs="Arabic Typesetting"/>
        </w:rPr>
        <w:t xml:space="preserve"> to the proceedings as a whole,</w:t>
      </w:r>
      <w:r w:rsidR="00895297" w:rsidRPr="0018247F">
        <w:rPr>
          <w:rFonts w:ascii="Arial Narrow" w:hAnsi="Arial Narrow" w:cs="Arabic Typesetting"/>
        </w:rPr>
        <w:t xml:space="preserve"> that the authorities had not failed in their obligation to conduct an effective investigation</w:t>
      </w:r>
      <w:r w:rsidR="00895297" w:rsidRPr="007B03F8">
        <w:rPr>
          <w:rStyle w:val="FootnoteReference"/>
          <w:rFonts w:ascii="Arial Narrow" w:hAnsi="Arial Narrow"/>
        </w:rPr>
        <w:footnoteReference w:id="22"/>
      </w:r>
      <w:r w:rsidR="00895297" w:rsidRPr="007B03F8">
        <w:rPr>
          <w:rFonts w:ascii="Arial Narrow" w:hAnsi="Arial Narrow" w:cs="Arabic Typesetting"/>
        </w:rPr>
        <w:t>.</w:t>
      </w:r>
      <w:r w:rsidR="00E91C31">
        <w:rPr>
          <w:rFonts w:ascii="Arial Narrow" w:hAnsi="Arial Narrow" w:cs="Arabic Typesetting"/>
        </w:rPr>
        <w:t xml:space="preserve"> </w:t>
      </w:r>
    </w:p>
    <w:p w14:paraId="5014FA30" w14:textId="77777777" w:rsidR="00895297" w:rsidRPr="007B03F8" w:rsidRDefault="00895297" w:rsidP="00895297">
      <w:pPr>
        <w:tabs>
          <w:tab w:val="left" w:pos="567"/>
        </w:tabs>
        <w:spacing w:line="480" w:lineRule="auto"/>
        <w:jc w:val="both"/>
        <w:rPr>
          <w:rFonts w:ascii="Arial Narrow" w:hAnsi="Arial Narrow"/>
        </w:rPr>
      </w:pPr>
    </w:p>
    <w:p w14:paraId="4FCED82E" w14:textId="293E70B6" w:rsidR="00895297" w:rsidRPr="007B03F8" w:rsidRDefault="00895297" w:rsidP="00895297">
      <w:pPr>
        <w:tabs>
          <w:tab w:val="left" w:pos="567"/>
        </w:tabs>
        <w:spacing w:line="480" w:lineRule="auto"/>
        <w:jc w:val="both"/>
        <w:rPr>
          <w:rFonts w:ascii="Arial Narrow" w:hAnsi="Arial Narrow" w:cs="Arabic Typesetting"/>
        </w:rPr>
      </w:pPr>
      <w:r w:rsidRPr="007B03F8">
        <w:rPr>
          <w:rFonts w:ascii="Arial Narrow" w:hAnsi="Arial Narrow"/>
        </w:rPr>
        <w:tab/>
        <w:t>1</w:t>
      </w:r>
      <w:r w:rsidR="008D4FE1">
        <w:rPr>
          <w:rFonts w:ascii="Arial Narrow" w:hAnsi="Arial Narrow"/>
        </w:rPr>
        <w:t>7</w:t>
      </w:r>
      <w:r w:rsidRPr="007B03F8">
        <w:rPr>
          <w:rFonts w:ascii="Arial Narrow" w:hAnsi="Arial Narrow"/>
        </w:rPr>
        <w:t>.  </w:t>
      </w:r>
      <w:r>
        <w:rPr>
          <w:rFonts w:ascii="Arial Narrow" w:hAnsi="Arial Narrow"/>
        </w:rPr>
        <w:t>Against this background</w:t>
      </w:r>
      <w:r w:rsidRPr="007B03F8">
        <w:rPr>
          <w:rFonts w:ascii="Arial Narrow" w:hAnsi="Arial Narrow"/>
        </w:rPr>
        <w:t xml:space="preserve">, </w:t>
      </w:r>
      <w:r>
        <w:rPr>
          <w:rFonts w:ascii="Arial Narrow" w:hAnsi="Arial Narrow"/>
        </w:rPr>
        <w:t>the assumption that the European Court of Human Rights prohibits democratic States from combating terrorism is deeply inaccurate</w:t>
      </w:r>
      <w:r w:rsidRPr="007B03F8">
        <w:rPr>
          <w:rFonts w:ascii="Arial Narrow" w:hAnsi="Arial Narrow"/>
        </w:rPr>
        <w:t>.</w:t>
      </w:r>
      <w:r>
        <w:rPr>
          <w:rFonts w:ascii="Arial Narrow" w:hAnsi="Arial Narrow"/>
        </w:rPr>
        <w:t xml:space="preserve"> But, and this is quite another matter, States – and thus Governments </w:t>
      </w:r>
      <w:r w:rsidRPr="007B03F8">
        <w:rPr>
          <w:rFonts w:ascii="Arial Narrow" w:hAnsi="Arial Narrow"/>
        </w:rPr>
        <w:t xml:space="preserve">– </w:t>
      </w:r>
      <w:r>
        <w:rPr>
          <w:rFonts w:ascii="Arial Narrow" w:hAnsi="Arial Narrow"/>
        </w:rPr>
        <w:t>must take useful, appropriate and not illusory measures</w:t>
      </w:r>
      <w:r w:rsidRPr="007B03F8">
        <w:rPr>
          <w:rFonts w:ascii="Arial Narrow" w:hAnsi="Arial Narrow"/>
        </w:rPr>
        <w:t xml:space="preserve">. </w:t>
      </w:r>
      <w:r>
        <w:rPr>
          <w:rFonts w:ascii="Arial Narrow" w:hAnsi="Arial Narrow"/>
        </w:rPr>
        <w:t>Deprivation</w:t>
      </w:r>
      <w:r w:rsidRPr="007B03F8">
        <w:rPr>
          <w:rFonts w:ascii="Arial Narrow" w:hAnsi="Arial Narrow"/>
        </w:rPr>
        <w:t> </w:t>
      </w:r>
      <w:r>
        <w:rPr>
          <w:rFonts w:ascii="Arial Narrow" w:hAnsi="Arial Narrow"/>
        </w:rPr>
        <w:t xml:space="preserve">of nationality, which France wanted at some point to introduce in its Constitution, is to my mind a perfect counterexample. </w:t>
      </w:r>
      <w:r w:rsidR="00E91C31">
        <w:rPr>
          <w:rFonts w:ascii="Arial Narrow" w:hAnsi="Arial Narrow" w:cs="Arabic Typesetting"/>
        </w:rPr>
        <w:t>There is a case currently pending before the Court concerning dep</w:t>
      </w:r>
      <w:r w:rsidR="00E91C31" w:rsidRPr="00E91C31">
        <w:rPr>
          <w:rFonts w:ascii="Arial Narrow" w:hAnsi="Arial Narrow" w:cs="Arabic Typesetting"/>
        </w:rPr>
        <w:t>r</w:t>
      </w:r>
      <w:r w:rsidR="00E91C31">
        <w:rPr>
          <w:rFonts w:ascii="Arial Narrow" w:hAnsi="Arial Narrow" w:cs="Arabic Typesetting"/>
        </w:rPr>
        <w:t>i</w:t>
      </w:r>
      <w:r w:rsidR="00E91C31" w:rsidRPr="00E91C31">
        <w:rPr>
          <w:rFonts w:ascii="Arial Narrow" w:hAnsi="Arial Narrow" w:cs="Arabic Typesetting"/>
        </w:rPr>
        <w:t xml:space="preserve">vation of nationality for acts of terrorism, </w:t>
      </w:r>
      <w:r w:rsidR="00E91C31" w:rsidRPr="00E91C31">
        <w:rPr>
          <w:rFonts w:ascii="Arial Narrow" w:hAnsi="Arial Narrow" w:cs="Arabic Typesetting"/>
          <w:i/>
        </w:rPr>
        <w:t>A.S. v. France</w:t>
      </w:r>
      <w:r w:rsidR="00E91C31" w:rsidRPr="00E91C31">
        <w:rPr>
          <w:rFonts w:ascii="Arial Narrow" w:hAnsi="Arial Narrow" w:cs="Arabic Typesetting"/>
        </w:rPr>
        <w:t xml:space="preserve">, </w:t>
      </w:r>
      <w:r w:rsidR="00E91C31">
        <w:rPr>
          <w:rFonts w:ascii="Arial Narrow" w:hAnsi="Arial Narrow" w:cs="Arabic Typesetting"/>
        </w:rPr>
        <w:t xml:space="preserve">which </w:t>
      </w:r>
      <w:r w:rsidR="00E91C31" w:rsidRPr="00E91C31">
        <w:rPr>
          <w:rFonts w:ascii="Arial Narrow" w:hAnsi="Arial Narrow" w:cs="Arabic Typesetting"/>
        </w:rPr>
        <w:t>was communicated to the Government on 5 October 2016 under Articles 3, 8, 14 and 34 of the Conven</w:t>
      </w:r>
      <w:r w:rsidR="00E91C31">
        <w:rPr>
          <w:rFonts w:ascii="Arial Narrow" w:hAnsi="Arial Narrow" w:cs="Arabic Typesetting"/>
        </w:rPr>
        <w:t>t</w:t>
      </w:r>
      <w:r w:rsidR="00E91C31" w:rsidRPr="00E91C31">
        <w:rPr>
          <w:rFonts w:ascii="Arial Narrow" w:hAnsi="Arial Narrow" w:cs="Arabic Typesetting"/>
        </w:rPr>
        <w:t>ion, as well as under Article 1 of Protocol No. 7 to the Convention</w:t>
      </w:r>
      <w:r w:rsidR="00E91C31" w:rsidRPr="007B03F8">
        <w:rPr>
          <w:rStyle w:val="FootnoteReference"/>
          <w:rFonts w:ascii="Arial Narrow" w:hAnsi="Arial Narrow"/>
        </w:rPr>
        <w:footnoteReference w:id="23"/>
      </w:r>
      <w:r w:rsidR="00E91C31" w:rsidRPr="00E91C31">
        <w:rPr>
          <w:rFonts w:ascii="Arial Narrow" w:hAnsi="Arial Narrow" w:cs="Arabic Typesetting"/>
        </w:rPr>
        <w:t>.</w:t>
      </w:r>
    </w:p>
    <w:p w14:paraId="4D484742" w14:textId="77777777" w:rsidR="00895297" w:rsidRPr="007B03F8" w:rsidRDefault="00895297" w:rsidP="00895297">
      <w:pPr>
        <w:tabs>
          <w:tab w:val="left" w:pos="567"/>
        </w:tabs>
        <w:spacing w:line="480" w:lineRule="auto"/>
        <w:jc w:val="both"/>
        <w:rPr>
          <w:rFonts w:ascii="Arial Narrow" w:hAnsi="Arial Narrow" w:cs="Arabic Typesetting"/>
        </w:rPr>
      </w:pPr>
    </w:p>
    <w:p w14:paraId="68E2940D" w14:textId="77777777" w:rsidR="00895297" w:rsidRPr="007B03F8" w:rsidRDefault="00895297" w:rsidP="00895297">
      <w:pPr>
        <w:tabs>
          <w:tab w:val="left" w:pos="851"/>
        </w:tabs>
        <w:spacing w:line="480" w:lineRule="auto"/>
        <w:jc w:val="both"/>
        <w:rPr>
          <w:rFonts w:ascii="Arial Narrow" w:hAnsi="Arial Narrow"/>
          <w:b/>
          <w:i/>
        </w:rPr>
      </w:pPr>
      <w:r w:rsidRPr="007B03F8">
        <w:rPr>
          <w:rFonts w:ascii="Arial Narrow" w:hAnsi="Arial Narrow"/>
          <w:b/>
          <w:i/>
        </w:rPr>
        <w:tab/>
      </w:r>
      <w:r>
        <w:rPr>
          <w:rFonts w:ascii="Arial Narrow" w:hAnsi="Arial Narrow"/>
          <w:b/>
          <w:i/>
        </w:rPr>
        <w:t>Protection of the democratic system</w:t>
      </w:r>
    </w:p>
    <w:p w14:paraId="5756B833" w14:textId="77777777" w:rsidR="00895297" w:rsidRPr="007B03F8" w:rsidRDefault="00895297" w:rsidP="00895297">
      <w:pPr>
        <w:tabs>
          <w:tab w:val="left" w:pos="567"/>
        </w:tabs>
        <w:spacing w:line="480" w:lineRule="auto"/>
        <w:jc w:val="both"/>
        <w:rPr>
          <w:rFonts w:ascii="Arial Narrow" w:hAnsi="Arial Narrow" w:cs="Arabic Typesetting"/>
        </w:rPr>
      </w:pPr>
    </w:p>
    <w:p w14:paraId="34E55192" w14:textId="28AD558E"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cs="Arabic Typesetting"/>
        </w:rPr>
        <w:tab/>
      </w:r>
      <w:r w:rsidRPr="007B03F8">
        <w:rPr>
          <w:rFonts w:ascii="Arial Narrow" w:hAnsi="Arial Narrow"/>
        </w:rPr>
        <w:t>1</w:t>
      </w:r>
      <w:r w:rsidR="008D4FE1">
        <w:rPr>
          <w:rFonts w:ascii="Arial Narrow" w:hAnsi="Arial Narrow"/>
        </w:rPr>
        <w:t>8</w:t>
      </w:r>
      <w:r w:rsidRPr="007B03F8">
        <w:rPr>
          <w:rFonts w:ascii="Arial Narrow" w:hAnsi="Arial Narrow"/>
        </w:rPr>
        <w:t>.  </w:t>
      </w:r>
      <w:r>
        <w:rPr>
          <w:rFonts w:ascii="Arial Narrow" w:hAnsi="Arial Narrow"/>
        </w:rPr>
        <w:t>There is a second reason why States have the obligation, under the European Convention on Human Rights,</w:t>
      </w:r>
      <w:r>
        <w:rPr>
          <w:rFonts w:ascii="Arial Narrow" w:hAnsi="Arial Narrow" w:cs="Arabic Typesetting"/>
        </w:rPr>
        <w:t xml:space="preserve"> to combat terrorism</w:t>
      </w:r>
      <w:r w:rsidRPr="007B03F8">
        <w:rPr>
          <w:rFonts w:ascii="Arial Narrow" w:hAnsi="Arial Narrow"/>
        </w:rPr>
        <w:t>.</w:t>
      </w:r>
      <w:r>
        <w:rPr>
          <w:rFonts w:ascii="Arial Narrow" w:hAnsi="Arial Narrow"/>
        </w:rPr>
        <w:t xml:space="preserve"> It arises from the threat posed by terrorism to a country’s democratic system</w:t>
      </w:r>
      <w:r w:rsidR="006F19C8" w:rsidRPr="006F19C8">
        <w:rPr>
          <w:rStyle w:val="FootnoteReference"/>
          <w:rFonts w:ascii="Arial Narrow" w:hAnsi="Arial Narrow"/>
          <w:lang w:val="fr-FR"/>
        </w:rPr>
        <w:footnoteReference w:id="24"/>
      </w:r>
      <w:r w:rsidRPr="006F19C8">
        <w:rPr>
          <w:rFonts w:ascii="Arial Narrow" w:hAnsi="Arial Narrow"/>
        </w:rPr>
        <w:t xml:space="preserve">. </w:t>
      </w:r>
      <w:r w:rsidR="00727986" w:rsidRPr="006F19C8">
        <w:rPr>
          <w:rFonts w:ascii="Arial Narrow" w:hAnsi="Arial Narrow"/>
        </w:rPr>
        <w:t>As</w:t>
      </w:r>
      <w:r w:rsidR="00727986">
        <w:rPr>
          <w:rFonts w:ascii="Arial Narrow" w:hAnsi="Arial Narrow"/>
        </w:rPr>
        <w:t xml:space="preserve"> the former President of the Supreme Court of Israel Aharon Barak puts it</w:t>
      </w:r>
      <w:r w:rsidR="00727986" w:rsidRPr="007B03F8">
        <w:rPr>
          <w:rFonts w:ascii="Arial Narrow" w:hAnsi="Arial Narrow"/>
        </w:rPr>
        <w:t xml:space="preserve">, </w:t>
      </w:r>
      <w:r w:rsidR="00727986">
        <w:rPr>
          <w:rFonts w:ascii="Arial Narrow" w:hAnsi="Arial Narrow"/>
        </w:rPr>
        <w:t>“</w:t>
      </w:r>
      <w:r w:rsidR="00727986" w:rsidRPr="007B03F8">
        <w:rPr>
          <w:rFonts w:ascii="Arial Narrow" w:hAnsi="Arial Narrow"/>
        </w:rPr>
        <w:t> [</w:t>
      </w:r>
      <w:r w:rsidR="00727986">
        <w:rPr>
          <w:rFonts w:ascii="Arial Narrow" w:hAnsi="Arial Narrow"/>
        </w:rPr>
        <w:t>i</w:t>
      </w:r>
      <w:r w:rsidR="00727986" w:rsidRPr="007B03F8">
        <w:rPr>
          <w:rFonts w:ascii="Arial Narrow" w:hAnsi="Arial Narrow"/>
        </w:rPr>
        <w:t>]</w:t>
      </w:r>
      <w:r w:rsidR="00727986" w:rsidRPr="001A643C">
        <w:rPr>
          <w:rFonts w:ascii="Arial Narrow" w:hAnsi="Arial Narrow"/>
        </w:rPr>
        <w:t>f we do not protect democracy, democracy will not protect us</w:t>
      </w:r>
      <w:r w:rsidR="00727986" w:rsidRPr="001A643C">
        <w:rPr>
          <w:rStyle w:val="FootnoteReference"/>
          <w:rFonts w:ascii="Arial Narrow" w:hAnsi="Arial Narrow"/>
          <w:vertAlign w:val="baseline"/>
        </w:rPr>
        <w:t xml:space="preserve"> </w:t>
      </w:r>
      <w:r w:rsidR="00727986" w:rsidRPr="007B03F8">
        <w:rPr>
          <w:rStyle w:val="FootnoteReference"/>
          <w:rFonts w:ascii="Arial Narrow" w:hAnsi="Arial Narrow"/>
        </w:rPr>
        <w:footnoteReference w:id="25"/>
      </w:r>
      <w:r w:rsidR="00727986" w:rsidRPr="007B03F8">
        <w:rPr>
          <w:rFonts w:ascii="Arial Narrow" w:hAnsi="Arial Narrow"/>
        </w:rPr>
        <w:t>.</w:t>
      </w:r>
      <w:r w:rsidR="00727986">
        <w:rPr>
          <w:rFonts w:ascii="Arial Narrow" w:hAnsi="Arial Narrow"/>
        </w:rPr>
        <w:t xml:space="preserve"> </w:t>
      </w:r>
      <w:r>
        <w:rPr>
          <w:rFonts w:ascii="Arial Narrow" w:hAnsi="Arial Narrow"/>
        </w:rPr>
        <w:t>Terrorist acts do not only affect individual human rights but their objective often includes also the neutralisation, even the destruction, of the entire political system</w:t>
      </w:r>
      <w:r w:rsidRPr="007B03F8">
        <w:rPr>
          <w:rFonts w:ascii="Arial Narrow" w:hAnsi="Arial Narrow"/>
        </w:rPr>
        <w:t xml:space="preserve">. </w:t>
      </w:r>
      <w:r>
        <w:rPr>
          <w:rFonts w:ascii="Arial Narrow" w:hAnsi="Arial Narrow"/>
        </w:rPr>
        <w:t>Furthermore</w:t>
      </w:r>
      <w:r w:rsidRPr="007B03F8">
        <w:rPr>
          <w:rFonts w:ascii="Arial Narrow" w:hAnsi="Arial Narrow"/>
        </w:rPr>
        <w:t>,</w:t>
      </w:r>
      <w:r>
        <w:rPr>
          <w:rFonts w:ascii="Arial Narrow" w:hAnsi="Arial Narrow"/>
        </w:rPr>
        <w:t xml:space="preserve"> when they aim at provoking change through violence,</w:t>
      </w:r>
      <w:r w:rsidRPr="007B03F8">
        <w:rPr>
          <w:rFonts w:ascii="Arial Narrow" w:hAnsi="Arial Narrow"/>
        </w:rPr>
        <w:t xml:space="preserve"> </w:t>
      </w:r>
      <w:r>
        <w:rPr>
          <w:rFonts w:ascii="Arial Narrow" w:hAnsi="Arial Narrow"/>
        </w:rPr>
        <w:t xml:space="preserve">terrorist methods are directly opposed to the democratic principles of democracy, namely the </w:t>
      </w:r>
      <w:r w:rsidRPr="00693F86">
        <w:rPr>
          <w:rFonts w:ascii="Arial Narrow" w:hAnsi="Arial Narrow"/>
        </w:rPr>
        <w:t xml:space="preserve">peaceful resolution of </w:t>
      </w:r>
      <w:r>
        <w:rPr>
          <w:rFonts w:ascii="Arial Narrow" w:hAnsi="Arial Narrow"/>
        </w:rPr>
        <w:t xml:space="preserve">political </w:t>
      </w:r>
      <w:r w:rsidRPr="00693F86">
        <w:rPr>
          <w:rFonts w:ascii="Arial Narrow" w:hAnsi="Arial Narrow"/>
        </w:rPr>
        <w:t xml:space="preserve">conflicts </w:t>
      </w:r>
      <w:r>
        <w:rPr>
          <w:rFonts w:ascii="Arial Narrow" w:hAnsi="Arial Narrow"/>
        </w:rPr>
        <w:t>by</w:t>
      </w:r>
      <w:r w:rsidRPr="007B03F8">
        <w:rPr>
          <w:rFonts w:ascii="Arial Narrow" w:hAnsi="Arial Narrow"/>
        </w:rPr>
        <w:t xml:space="preserve"> dialogue</w:t>
      </w:r>
      <w:r w:rsidRPr="007B03F8">
        <w:rPr>
          <w:rStyle w:val="FootnoteReference"/>
          <w:rFonts w:ascii="Arial Narrow" w:hAnsi="Arial Narrow"/>
        </w:rPr>
        <w:footnoteReference w:id="26"/>
      </w:r>
      <w:r w:rsidRPr="007B03F8">
        <w:rPr>
          <w:rFonts w:ascii="Arial Narrow" w:hAnsi="Arial Narrow"/>
        </w:rPr>
        <w:t xml:space="preserve">. </w:t>
      </w:r>
    </w:p>
    <w:p w14:paraId="5C772E19" w14:textId="77777777" w:rsidR="00895297" w:rsidRPr="007B03F8" w:rsidRDefault="00895297" w:rsidP="00895297">
      <w:pPr>
        <w:tabs>
          <w:tab w:val="left" w:pos="567"/>
        </w:tabs>
        <w:spacing w:line="480" w:lineRule="auto"/>
        <w:jc w:val="both"/>
        <w:rPr>
          <w:rFonts w:ascii="Arial Narrow" w:hAnsi="Arial Narrow"/>
        </w:rPr>
      </w:pPr>
    </w:p>
    <w:p w14:paraId="633049AD" w14:textId="391F2DA4"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rPr>
        <w:tab/>
        <w:t>1</w:t>
      </w:r>
      <w:r w:rsidR="008D4FE1">
        <w:rPr>
          <w:rFonts w:ascii="Arial Narrow" w:hAnsi="Arial Narrow"/>
        </w:rPr>
        <w:t>9</w:t>
      </w:r>
      <w:r w:rsidRPr="007B03F8">
        <w:rPr>
          <w:rFonts w:ascii="Arial Narrow" w:hAnsi="Arial Narrow"/>
        </w:rPr>
        <w:t>.  </w:t>
      </w:r>
      <w:r>
        <w:rPr>
          <w:rFonts w:ascii="Arial Narrow" w:hAnsi="Arial Narrow"/>
        </w:rPr>
        <w:t xml:space="preserve">The </w:t>
      </w:r>
      <w:r w:rsidRPr="007B03F8">
        <w:rPr>
          <w:rFonts w:ascii="Arial Narrow" w:hAnsi="Arial Narrow"/>
        </w:rPr>
        <w:t>Pr</w:t>
      </w:r>
      <w:r>
        <w:rPr>
          <w:rFonts w:ascii="Arial Narrow" w:hAnsi="Arial Narrow"/>
        </w:rPr>
        <w:t>e</w:t>
      </w:r>
      <w:r w:rsidRPr="007B03F8">
        <w:rPr>
          <w:rFonts w:ascii="Arial Narrow" w:hAnsi="Arial Narrow"/>
        </w:rPr>
        <w:t xml:space="preserve">amble </w:t>
      </w:r>
      <w:r>
        <w:rPr>
          <w:rFonts w:ascii="Arial Narrow" w:hAnsi="Arial Narrow"/>
        </w:rPr>
        <w:t>to the</w:t>
      </w:r>
      <w:r w:rsidRPr="007B03F8">
        <w:rPr>
          <w:rFonts w:ascii="Arial Narrow" w:hAnsi="Arial Narrow"/>
        </w:rPr>
        <w:t xml:space="preserve"> </w:t>
      </w:r>
      <w:r>
        <w:rPr>
          <w:rFonts w:ascii="Arial Narrow" w:hAnsi="Arial Narrow"/>
        </w:rPr>
        <w:t xml:space="preserve">European </w:t>
      </w:r>
      <w:r w:rsidRPr="007B03F8">
        <w:rPr>
          <w:rFonts w:ascii="Arial Narrow" w:hAnsi="Arial Narrow"/>
        </w:rPr>
        <w:t>Convention</w:t>
      </w:r>
      <w:r>
        <w:rPr>
          <w:rFonts w:ascii="Arial Narrow" w:hAnsi="Arial Narrow"/>
        </w:rPr>
        <w:t xml:space="preserve"> on Human Rights is</w:t>
      </w:r>
      <w:r w:rsidRPr="007B03F8">
        <w:rPr>
          <w:rFonts w:ascii="Arial Narrow" w:hAnsi="Arial Narrow"/>
        </w:rPr>
        <w:t xml:space="preserve"> </w:t>
      </w:r>
      <w:r>
        <w:rPr>
          <w:rFonts w:ascii="Arial Narrow" w:hAnsi="Arial Narrow"/>
        </w:rPr>
        <w:t>sendind out a strong message</w:t>
      </w:r>
      <w:r w:rsidRPr="007B03F8">
        <w:rPr>
          <w:rFonts w:ascii="Arial Narrow" w:hAnsi="Arial Narrow"/>
        </w:rPr>
        <w:t>:</w:t>
      </w:r>
      <w:r>
        <w:rPr>
          <w:rFonts w:ascii="Arial Narrow" w:hAnsi="Arial Narrow"/>
        </w:rPr>
        <w:t xml:space="preserve"> “</w:t>
      </w:r>
      <w:r w:rsidRPr="007B03F8">
        <w:rPr>
          <w:rFonts w:ascii="Arial Narrow" w:hAnsi="Arial Narrow"/>
        </w:rPr>
        <w:t>[</w:t>
      </w:r>
      <w:r>
        <w:rPr>
          <w:rFonts w:ascii="Arial Narrow" w:hAnsi="Arial Narrow"/>
        </w:rPr>
        <w:t>F</w:t>
      </w:r>
      <w:r w:rsidRPr="007B03F8">
        <w:rPr>
          <w:rFonts w:ascii="Arial Narrow" w:hAnsi="Arial Narrow"/>
        </w:rPr>
        <w:t>]</w:t>
      </w:r>
      <w:r>
        <w:rPr>
          <w:rFonts w:ascii="Arial Narrow" w:hAnsi="Arial Narrow"/>
        </w:rPr>
        <w:t>undamental freedoms … are best maintained … by an effective political democracy …”</w:t>
      </w:r>
      <w:r w:rsidRPr="007B03F8">
        <w:rPr>
          <w:rFonts w:ascii="Arial Narrow" w:hAnsi="Arial Narrow"/>
        </w:rPr>
        <w:t xml:space="preserve">. </w:t>
      </w:r>
      <w:r>
        <w:rPr>
          <w:rFonts w:ascii="Arial Narrow" w:hAnsi="Arial Narrow"/>
        </w:rPr>
        <w:t>European human rights law</w:t>
      </w:r>
      <w:r w:rsidRPr="007B03F8">
        <w:rPr>
          <w:rFonts w:ascii="Arial Narrow" w:hAnsi="Arial Narrow"/>
        </w:rPr>
        <w:t xml:space="preserve"> – </w:t>
      </w:r>
      <w:r>
        <w:rPr>
          <w:rFonts w:ascii="Arial Narrow" w:hAnsi="Arial Narrow"/>
        </w:rPr>
        <w:t>and indeed international law</w:t>
      </w:r>
      <w:r w:rsidRPr="007B03F8">
        <w:rPr>
          <w:rFonts w:ascii="Arial Narrow" w:hAnsi="Arial Narrow"/>
        </w:rPr>
        <w:t xml:space="preserve"> – </w:t>
      </w:r>
      <w:r>
        <w:rPr>
          <w:rFonts w:ascii="Arial Narrow" w:hAnsi="Arial Narrow"/>
        </w:rPr>
        <w:t xml:space="preserve">accordingly obliges States </w:t>
      </w:r>
      <w:r w:rsidRPr="000A728D">
        <w:rPr>
          <w:rFonts w:ascii="Arial Narrow" w:hAnsi="Arial Narrow"/>
        </w:rPr>
        <w:t>to ensure protection and preservation</w:t>
      </w:r>
      <w:r>
        <w:rPr>
          <w:rFonts w:ascii="Arial Narrow" w:hAnsi="Arial Narrow"/>
        </w:rPr>
        <w:t xml:space="preserve"> of their democratic system of government. Yet, a way of undermining democratic institutions and values is precisely to encourage Governments to combat terrorist violence by employing counter-terrorism measures which put them at risk</w:t>
      </w:r>
      <w:r w:rsidRPr="007B03F8">
        <w:rPr>
          <w:rFonts w:ascii="Arial Narrow" w:hAnsi="Arial Narrow"/>
        </w:rPr>
        <w:t xml:space="preserve">. </w:t>
      </w:r>
      <w:r>
        <w:rPr>
          <w:rFonts w:ascii="Arial Narrow" w:hAnsi="Arial Narrow"/>
        </w:rPr>
        <w:t>Things are closely connected</w:t>
      </w:r>
      <w:r w:rsidRPr="007B03F8">
        <w:rPr>
          <w:rFonts w:ascii="Arial Narrow" w:hAnsi="Arial Narrow"/>
        </w:rPr>
        <w:t xml:space="preserve">. </w:t>
      </w:r>
      <w:r>
        <w:rPr>
          <w:rFonts w:ascii="Arial Narrow" w:hAnsi="Arial Narrow"/>
        </w:rPr>
        <w:t>In other words</w:t>
      </w:r>
      <w:r w:rsidRPr="007B03F8">
        <w:rPr>
          <w:rFonts w:ascii="Arial Narrow" w:hAnsi="Arial Narrow"/>
        </w:rPr>
        <w:t xml:space="preserve">, </w:t>
      </w:r>
      <w:r>
        <w:rPr>
          <w:rFonts w:ascii="Arial Narrow" w:hAnsi="Arial Narrow"/>
        </w:rPr>
        <w:t>and to quote a famous formula used by the European Court, one cannot “undermin</w:t>
      </w:r>
      <w:r w:rsidRPr="007B03F8">
        <w:rPr>
          <w:rFonts w:ascii="Arial Narrow" w:hAnsi="Arial Narrow"/>
        </w:rPr>
        <w:t>[</w:t>
      </w:r>
      <w:r>
        <w:rPr>
          <w:rFonts w:ascii="Arial Narrow" w:hAnsi="Arial Narrow"/>
        </w:rPr>
        <w:t>e</w:t>
      </w:r>
      <w:r w:rsidRPr="007B03F8">
        <w:rPr>
          <w:rFonts w:ascii="Arial Narrow" w:hAnsi="Arial Narrow"/>
        </w:rPr>
        <w:t>]</w:t>
      </w:r>
      <w:r>
        <w:rPr>
          <w:rFonts w:ascii="Arial Narrow" w:hAnsi="Arial Narrow"/>
        </w:rPr>
        <w:t xml:space="preserve"> or even destroy </w:t>
      </w:r>
      <w:r w:rsidRPr="007B03F8">
        <w:rPr>
          <w:rFonts w:ascii="Arial Narrow" w:hAnsi="Arial Narrow"/>
        </w:rPr>
        <w:t>[</w:t>
      </w:r>
      <w:r>
        <w:rPr>
          <w:rFonts w:ascii="Arial Narrow" w:hAnsi="Arial Narrow"/>
        </w:rPr>
        <w:t>…</w:t>
      </w:r>
      <w:r w:rsidRPr="007B03F8">
        <w:rPr>
          <w:rFonts w:ascii="Arial Narrow" w:hAnsi="Arial Narrow"/>
        </w:rPr>
        <w:t>]</w:t>
      </w:r>
      <w:r w:rsidR="006F19C8">
        <w:rPr>
          <w:rFonts w:ascii="Arial Narrow" w:hAnsi="Arial Narrow"/>
        </w:rPr>
        <w:t xml:space="preserve"> </w:t>
      </w:r>
      <w:r w:rsidRPr="008D3687">
        <w:rPr>
          <w:rFonts w:ascii="Arial Narrow" w:hAnsi="Arial Narrow"/>
        </w:rPr>
        <w:t>democracy on the ground of defending it</w:t>
      </w:r>
      <w:r>
        <w:rPr>
          <w:rFonts w:ascii="Arial Narrow" w:hAnsi="Arial Narrow"/>
        </w:rPr>
        <w:t>”</w:t>
      </w:r>
      <w:r w:rsidRPr="007B03F8">
        <w:rPr>
          <w:rStyle w:val="FootnoteReference"/>
          <w:rFonts w:ascii="Arial Narrow" w:hAnsi="Arial Narrow"/>
        </w:rPr>
        <w:footnoteReference w:id="27"/>
      </w:r>
      <w:r w:rsidRPr="007B03F8">
        <w:rPr>
          <w:rFonts w:ascii="Arial Narrow" w:hAnsi="Arial Narrow"/>
        </w:rPr>
        <w:t xml:space="preserve">. </w:t>
      </w:r>
    </w:p>
    <w:p w14:paraId="4E874E75" w14:textId="77777777" w:rsidR="00895297" w:rsidRPr="007B03F8" w:rsidRDefault="00895297" w:rsidP="00895297">
      <w:pPr>
        <w:tabs>
          <w:tab w:val="left" w:pos="567"/>
        </w:tabs>
        <w:spacing w:line="480" w:lineRule="auto"/>
        <w:jc w:val="both"/>
        <w:rPr>
          <w:rFonts w:ascii="Arial Narrow" w:hAnsi="Arial Narrow"/>
        </w:rPr>
      </w:pPr>
    </w:p>
    <w:p w14:paraId="37D9CBD3" w14:textId="77777777" w:rsidR="00895297" w:rsidRPr="007B03F8" w:rsidRDefault="00895297" w:rsidP="00895297">
      <w:pPr>
        <w:keepNext/>
        <w:keepLines/>
        <w:tabs>
          <w:tab w:val="left" w:pos="567"/>
          <w:tab w:val="left" w:pos="851"/>
        </w:tabs>
        <w:spacing w:line="480" w:lineRule="auto"/>
        <w:jc w:val="both"/>
        <w:rPr>
          <w:rFonts w:ascii="Arial Narrow" w:hAnsi="Arial Narrow"/>
          <w:b/>
        </w:rPr>
      </w:pPr>
      <w:r w:rsidRPr="007B03F8">
        <w:rPr>
          <w:rFonts w:ascii="Arial Narrow" w:hAnsi="Arial Narrow"/>
          <w:b/>
        </w:rPr>
        <w:tab/>
        <w:t>3.</w:t>
      </w:r>
      <w:r w:rsidRPr="007B03F8">
        <w:rPr>
          <w:rFonts w:ascii="Arial Narrow" w:hAnsi="Arial Narrow"/>
          <w:b/>
        </w:rPr>
        <w:tab/>
      </w:r>
      <w:r>
        <w:rPr>
          <w:rFonts w:ascii="Arial Narrow" w:hAnsi="Arial Narrow"/>
          <w:b/>
        </w:rPr>
        <w:t>The obligation to respect human rights</w:t>
      </w:r>
    </w:p>
    <w:p w14:paraId="396D3804" w14:textId="77777777" w:rsidR="00895297" w:rsidRPr="007B03F8" w:rsidRDefault="00895297" w:rsidP="00895297">
      <w:pPr>
        <w:tabs>
          <w:tab w:val="left" w:pos="567"/>
        </w:tabs>
        <w:spacing w:line="480" w:lineRule="auto"/>
        <w:jc w:val="both"/>
        <w:rPr>
          <w:rFonts w:ascii="Arial Narrow" w:hAnsi="Arial Narrow"/>
        </w:rPr>
      </w:pPr>
    </w:p>
    <w:p w14:paraId="2E0ACD8B" w14:textId="4E7E9428"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rPr>
        <w:tab/>
      </w:r>
      <w:r w:rsidR="008D4FE1">
        <w:rPr>
          <w:rFonts w:ascii="Arial Narrow" w:hAnsi="Arial Narrow"/>
        </w:rPr>
        <w:t>20</w:t>
      </w:r>
      <w:r w:rsidRPr="007B03F8">
        <w:rPr>
          <w:rFonts w:ascii="Arial Narrow" w:hAnsi="Arial Narrow"/>
        </w:rPr>
        <w:t>.  </w:t>
      </w:r>
      <w:r>
        <w:rPr>
          <w:rFonts w:ascii="Arial Narrow" w:hAnsi="Arial Narrow"/>
        </w:rPr>
        <w:t xml:space="preserve">While States cannot fail to fulfil their obligation to adopt adequate and effective counter-terrorism measures, they cannot either fail to fulfil their obligation to respect human rights, which they undertook to observe when signing and ratifying the various European and international instruments for the </w:t>
      </w:r>
      <w:r w:rsidRPr="007B03F8">
        <w:rPr>
          <w:rFonts w:ascii="Arial Narrow" w:hAnsi="Arial Narrow"/>
        </w:rPr>
        <w:t xml:space="preserve">protection </w:t>
      </w:r>
      <w:r>
        <w:rPr>
          <w:rFonts w:ascii="Arial Narrow" w:hAnsi="Arial Narrow"/>
        </w:rPr>
        <w:t>of fundamental rights to which they are parties</w:t>
      </w:r>
      <w:r w:rsidRPr="007B03F8">
        <w:rPr>
          <w:rFonts w:ascii="Arial Narrow" w:hAnsi="Arial Narrow"/>
        </w:rPr>
        <w:t xml:space="preserve">. </w:t>
      </w:r>
      <w:r>
        <w:rPr>
          <w:rFonts w:ascii="Arial Narrow" w:hAnsi="Arial Narrow"/>
        </w:rPr>
        <w:t>Starting with the 1948 Universal Declaration of Human Rights and the 1950 European Convention on Human Rights up to the Charter of Fundamental Rights of the European Union adopted in 2000 and which became binding with the entry into force of the Lisbon Treaty in</w:t>
      </w:r>
      <w:r w:rsidRPr="007B03F8">
        <w:rPr>
          <w:rFonts w:ascii="Arial Narrow" w:hAnsi="Arial Narrow"/>
        </w:rPr>
        <w:t xml:space="preserve"> 2009. </w:t>
      </w:r>
    </w:p>
    <w:p w14:paraId="6F7C0A09" w14:textId="77777777" w:rsidR="00895297" w:rsidRPr="007B03F8" w:rsidRDefault="00895297" w:rsidP="00895297">
      <w:pPr>
        <w:tabs>
          <w:tab w:val="left" w:pos="567"/>
        </w:tabs>
        <w:spacing w:line="480" w:lineRule="auto"/>
        <w:jc w:val="both"/>
        <w:rPr>
          <w:rFonts w:ascii="Arial Narrow" w:hAnsi="Arial Narrow"/>
        </w:rPr>
      </w:pPr>
    </w:p>
    <w:p w14:paraId="0499F27C" w14:textId="6234FB10" w:rsidR="00895297" w:rsidRPr="007B03F8" w:rsidRDefault="003F0F2F" w:rsidP="00895297">
      <w:pPr>
        <w:tabs>
          <w:tab w:val="left" w:pos="567"/>
        </w:tabs>
        <w:spacing w:line="480" w:lineRule="auto"/>
        <w:jc w:val="both"/>
        <w:rPr>
          <w:rFonts w:ascii="Arial Narrow" w:hAnsi="Arial Narrow"/>
        </w:rPr>
      </w:pPr>
      <w:r>
        <w:rPr>
          <w:rFonts w:ascii="Arial Narrow" w:hAnsi="Arial Narrow"/>
        </w:rPr>
        <w:tab/>
      </w:r>
      <w:r w:rsidR="008D4FE1">
        <w:rPr>
          <w:rFonts w:ascii="Arial Narrow" w:hAnsi="Arial Narrow"/>
        </w:rPr>
        <w:t>21</w:t>
      </w:r>
      <w:r w:rsidR="00895297" w:rsidRPr="007B03F8">
        <w:rPr>
          <w:rFonts w:ascii="Arial Narrow" w:hAnsi="Arial Narrow"/>
        </w:rPr>
        <w:t>.  </w:t>
      </w:r>
      <w:r w:rsidR="00895297">
        <w:rPr>
          <w:rFonts w:ascii="Arial Narrow" w:hAnsi="Arial Narrow"/>
        </w:rPr>
        <w:t>The State’s obligation to respect human rights is based on two main reasons that share in common the need to ensure the legitimacy of interventions and thus their effectiveness.</w:t>
      </w:r>
    </w:p>
    <w:p w14:paraId="20F8323A" w14:textId="77777777" w:rsidR="00895297" w:rsidRPr="007B03F8" w:rsidRDefault="00895297" w:rsidP="00895297">
      <w:pPr>
        <w:tabs>
          <w:tab w:val="left" w:pos="567"/>
        </w:tabs>
        <w:spacing w:line="480" w:lineRule="auto"/>
        <w:jc w:val="both"/>
        <w:rPr>
          <w:rFonts w:ascii="Arial Narrow" w:hAnsi="Arial Narrow"/>
        </w:rPr>
      </w:pPr>
    </w:p>
    <w:p w14:paraId="6CAB90DE" w14:textId="77777777" w:rsidR="00895297" w:rsidRPr="007B03F8" w:rsidRDefault="00895297" w:rsidP="00895297">
      <w:pPr>
        <w:tabs>
          <w:tab w:val="left" w:pos="851"/>
        </w:tabs>
        <w:spacing w:line="480" w:lineRule="auto"/>
        <w:jc w:val="both"/>
        <w:rPr>
          <w:rFonts w:ascii="Arial Narrow" w:hAnsi="Arial Narrow"/>
          <w:b/>
          <w:i/>
        </w:rPr>
      </w:pPr>
      <w:r w:rsidRPr="007B03F8">
        <w:rPr>
          <w:rFonts w:ascii="Arial Narrow" w:hAnsi="Arial Narrow"/>
          <w:b/>
          <w:i/>
        </w:rPr>
        <w:tab/>
      </w:r>
      <w:r>
        <w:rPr>
          <w:rFonts w:ascii="Arial Narrow" w:hAnsi="Arial Narrow"/>
          <w:b/>
          <w:i/>
        </w:rPr>
        <w:t>Abuse of power / authority</w:t>
      </w:r>
    </w:p>
    <w:p w14:paraId="0CE17E87" w14:textId="77777777" w:rsidR="00895297" w:rsidRPr="007B03F8" w:rsidRDefault="00895297" w:rsidP="00895297">
      <w:pPr>
        <w:tabs>
          <w:tab w:val="left" w:pos="567"/>
        </w:tabs>
        <w:spacing w:line="480" w:lineRule="auto"/>
        <w:jc w:val="both"/>
        <w:rPr>
          <w:rFonts w:ascii="Arial Narrow" w:hAnsi="Arial Narrow"/>
        </w:rPr>
      </w:pPr>
    </w:p>
    <w:p w14:paraId="41BFA77B" w14:textId="605E6AEE"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rPr>
        <w:tab/>
      </w:r>
      <w:r w:rsidR="008D4FE1">
        <w:rPr>
          <w:rFonts w:ascii="Arial Narrow" w:hAnsi="Arial Narrow"/>
        </w:rPr>
        <w:t>22</w:t>
      </w:r>
      <w:r w:rsidRPr="007B03F8">
        <w:rPr>
          <w:rFonts w:ascii="Arial Narrow" w:hAnsi="Arial Narrow"/>
        </w:rPr>
        <w:t>.  </w:t>
      </w:r>
      <w:r>
        <w:rPr>
          <w:rFonts w:ascii="Arial Narrow" w:hAnsi="Arial Narrow"/>
        </w:rPr>
        <w:t xml:space="preserve">Human rights provide guarantees against abuse of power, which directly undermines the </w:t>
      </w:r>
      <w:r w:rsidRPr="00785956">
        <w:rPr>
          <w:rFonts w:ascii="Arial Narrow" w:hAnsi="Arial Narrow"/>
        </w:rPr>
        <w:t>legitimacy of the fight against terrorism</w:t>
      </w:r>
      <w:r w:rsidRPr="007B03F8">
        <w:rPr>
          <w:rFonts w:ascii="Arial Narrow" w:hAnsi="Arial Narrow"/>
        </w:rPr>
        <w:t>.</w:t>
      </w:r>
      <w:r>
        <w:rPr>
          <w:rFonts w:ascii="Arial Narrow" w:hAnsi="Arial Narrow"/>
        </w:rPr>
        <w:t xml:space="preserve"> Yet, abuse of power, under the form of slippages or drifts, which constitute serious violations of human rights, are real and not imaginary</w:t>
      </w:r>
      <w:r w:rsidRPr="007B03F8">
        <w:rPr>
          <w:rFonts w:ascii="Arial Narrow" w:hAnsi="Arial Narrow"/>
        </w:rPr>
        <w:t>.</w:t>
      </w:r>
      <w:r>
        <w:rPr>
          <w:rFonts w:ascii="Arial Narrow" w:hAnsi="Arial Narrow"/>
        </w:rPr>
        <w:t xml:space="preserve"> I shall take recent examples in cases lodged before the European Court of Human Rights in 2012, 2014 and </w:t>
      </w:r>
      <w:r w:rsidRPr="007B03F8">
        <w:rPr>
          <w:rFonts w:ascii="Arial Narrow" w:hAnsi="Arial Narrow"/>
        </w:rPr>
        <w:t xml:space="preserve">2016. </w:t>
      </w:r>
    </w:p>
    <w:p w14:paraId="7088FA7D" w14:textId="77777777" w:rsidR="00895297" w:rsidRPr="007B03F8" w:rsidRDefault="00895297" w:rsidP="00895297">
      <w:pPr>
        <w:tabs>
          <w:tab w:val="left" w:pos="567"/>
        </w:tabs>
        <w:spacing w:line="480" w:lineRule="auto"/>
        <w:jc w:val="both"/>
        <w:rPr>
          <w:rFonts w:ascii="Arial Narrow" w:hAnsi="Arial Narrow"/>
        </w:rPr>
      </w:pPr>
    </w:p>
    <w:p w14:paraId="51FE8153" w14:textId="4AD25CE8" w:rsidR="00895297" w:rsidRPr="007B7828" w:rsidRDefault="00895297" w:rsidP="00895297">
      <w:pPr>
        <w:tabs>
          <w:tab w:val="left" w:pos="567"/>
        </w:tabs>
        <w:spacing w:line="480" w:lineRule="auto"/>
        <w:jc w:val="both"/>
      </w:pPr>
      <w:r w:rsidRPr="007B03F8">
        <w:rPr>
          <w:rFonts w:ascii="Arial Narrow" w:hAnsi="Arial Narrow"/>
        </w:rPr>
        <w:tab/>
      </w:r>
      <w:r w:rsidR="008D4FE1">
        <w:rPr>
          <w:rFonts w:ascii="Arial Narrow" w:hAnsi="Arial Narrow"/>
        </w:rPr>
        <w:t>23</w:t>
      </w:r>
      <w:r w:rsidRPr="007B03F8">
        <w:rPr>
          <w:rFonts w:ascii="Arial Narrow" w:hAnsi="Arial Narrow"/>
        </w:rPr>
        <w:t>.  </w:t>
      </w:r>
      <w:r>
        <w:rPr>
          <w:rFonts w:ascii="Arial Narrow" w:hAnsi="Arial Narrow"/>
        </w:rPr>
        <w:t xml:space="preserve">Following the </w:t>
      </w:r>
      <w:r w:rsidRPr="007B03F8">
        <w:rPr>
          <w:rFonts w:ascii="Arial Narrow" w:hAnsi="Arial Narrow"/>
        </w:rPr>
        <w:t xml:space="preserve">11 </w:t>
      </w:r>
      <w:r>
        <w:rPr>
          <w:rFonts w:ascii="Arial Narrow" w:hAnsi="Arial Narrow"/>
        </w:rPr>
        <w:t>September</w:t>
      </w:r>
      <w:r w:rsidRPr="007B03F8">
        <w:rPr>
          <w:rFonts w:ascii="Arial Narrow" w:hAnsi="Arial Narrow"/>
        </w:rPr>
        <w:t xml:space="preserve"> 2001</w:t>
      </w:r>
      <w:r>
        <w:rPr>
          <w:rFonts w:ascii="Arial Narrow" w:hAnsi="Arial Narrow"/>
        </w:rPr>
        <w:t xml:space="preserve"> attacks</w:t>
      </w:r>
      <w:r w:rsidRPr="007B03F8">
        <w:rPr>
          <w:rFonts w:ascii="Arial Narrow" w:hAnsi="Arial Narrow"/>
        </w:rPr>
        <w:t xml:space="preserve">, </w:t>
      </w:r>
      <w:r>
        <w:rPr>
          <w:rFonts w:ascii="Arial Narrow" w:hAnsi="Arial Narrow"/>
        </w:rPr>
        <w:t>several countries in Europe provided assistance to the United States for the rendition to and the secret detention by the CIA</w:t>
      </w:r>
      <w:r w:rsidRPr="007B03F8">
        <w:rPr>
          <w:rFonts w:ascii="Arial Narrow" w:hAnsi="Arial Narrow"/>
        </w:rPr>
        <w:t xml:space="preserve">, </w:t>
      </w:r>
      <w:r>
        <w:rPr>
          <w:rFonts w:ascii="Arial Narrow" w:hAnsi="Arial Narrow"/>
        </w:rPr>
        <w:t>on their territory</w:t>
      </w:r>
      <w:r w:rsidRPr="007B03F8">
        <w:rPr>
          <w:rFonts w:ascii="Arial Narrow" w:hAnsi="Arial Narrow"/>
        </w:rPr>
        <w:t xml:space="preserve">, </w:t>
      </w:r>
      <w:r>
        <w:rPr>
          <w:rFonts w:ascii="Arial Narrow" w:hAnsi="Arial Narrow"/>
        </w:rPr>
        <w:t xml:space="preserve">of terror suspects prior to their transfer to </w:t>
      </w:r>
      <w:r w:rsidRPr="00864CC4">
        <w:rPr>
          <w:rFonts w:ascii="Arial Narrow" w:hAnsi="Arial Narrow"/>
        </w:rPr>
        <w:t>the US Naval Base in Guantanamo</w:t>
      </w:r>
      <w:r>
        <w:rPr>
          <w:rFonts w:ascii="Arial Narrow" w:hAnsi="Arial Narrow"/>
        </w:rPr>
        <w:t xml:space="preserve"> </w:t>
      </w:r>
      <w:r w:rsidRPr="00864CC4">
        <w:rPr>
          <w:rFonts w:ascii="Arial Narrow" w:hAnsi="Arial Narrow"/>
        </w:rPr>
        <w:t>Bay</w:t>
      </w:r>
      <w:r w:rsidRPr="007B03F8">
        <w:rPr>
          <w:rFonts w:ascii="Arial Narrow" w:hAnsi="Arial Narrow"/>
        </w:rPr>
        <w:t xml:space="preserve">, </w:t>
      </w:r>
      <w:r>
        <w:rPr>
          <w:rFonts w:ascii="Arial Narrow" w:hAnsi="Arial Narrow"/>
        </w:rPr>
        <w:t>which enabled to subtract them from the rules of law</w:t>
      </w:r>
      <w:r w:rsidRPr="007B03F8">
        <w:rPr>
          <w:rFonts w:ascii="Arial Narrow" w:hAnsi="Arial Narrow"/>
        </w:rPr>
        <w:t xml:space="preserve">. </w:t>
      </w:r>
      <w:r>
        <w:rPr>
          <w:rFonts w:ascii="Arial Narrow" w:hAnsi="Arial Narrow"/>
        </w:rPr>
        <w:t xml:space="preserve">In the </w:t>
      </w:r>
      <w:r w:rsidRPr="007B03F8">
        <w:rPr>
          <w:rFonts w:ascii="Arial Narrow" w:hAnsi="Arial Narrow"/>
          <w:i/>
        </w:rPr>
        <w:t xml:space="preserve">El-Masri </w:t>
      </w:r>
      <w:r>
        <w:rPr>
          <w:rFonts w:ascii="Arial Narrow" w:hAnsi="Arial Narrow"/>
        </w:rPr>
        <w:t>Grand Chamber judgment of</w:t>
      </w:r>
      <w:r w:rsidRPr="007B03F8">
        <w:rPr>
          <w:rFonts w:ascii="Arial Narrow" w:hAnsi="Arial Narrow"/>
        </w:rPr>
        <w:t xml:space="preserve"> 13 </w:t>
      </w:r>
      <w:r>
        <w:rPr>
          <w:rFonts w:ascii="Arial Narrow" w:hAnsi="Arial Narrow"/>
        </w:rPr>
        <w:t xml:space="preserve">December </w:t>
      </w:r>
      <w:r w:rsidRPr="007B03F8">
        <w:rPr>
          <w:rFonts w:ascii="Arial Narrow" w:hAnsi="Arial Narrow"/>
        </w:rPr>
        <w:t xml:space="preserve">2012, </w:t>
      </w:r>
      <w:r>
        <w:rPr>
          <w:rFonts w:ascii="Arial Narrow" w:hAnsi="Arial Narrow"/>
        </w:rPr>
        <w:t>“the former Yugoslav Republic of Macedonia” had assisted the CIA in capturing a German citizen who was held in</w:t>
      </w:r>
      <w:r w:rsidRPr="007B03F8">
        <w:rPr>
          <w:rFonts w:ascii="Arial Narrow" w:hAnsi="Arial Narrow"/>
        </w:rPr>
        <w:t> </w:t>
      </w:r>
      <w:r>
        <w:rPr>
          <w:rFonts w:ascii="Arial Narrow" w:hAnsi="Arial Narrow"/>
        </w:rPr>
        <w:t xml:space="preserve">secret for several months in a hotel in </w:t>
      </w:r>
      <w:r w:rsidRPr="007B03F8">
        <w:rPr>
          <w:rFonts w:ascii="Arial Narrow" w:hAnsi="Arial Narrow"/>
        </w:rPr>
        <w:t>Skopje.</w:t>
      </w:r>
      <w:r>
        <w:rPr>
          <w:rFonts w:ascii="Arial Narrow" w:hAnsi="Arial Narrow"/>
        </w:rPr>
        <w:t xml:space="preserve"> The Court found a violation of Article 3 of the Convention </w:t>
      </w:r>
      <w:r w:rsidRPr="007B7828">
        <w:rPr>
          <w:rFonts w:ascii="Arial Narrow" w:hAnsi="Arial Narrow"/>
        </w:rPr>
        <w:t xml:space="preserve">on account of the </w:t>
      </w:r>
      <w:r>
        <w:rPr>
          <w:rFonts w:ascii="Arial Narrow" w:hAnsi="Arial Narrow"/>
        </w:rPr>
        <w:t>ill-</w:t>
      </w:r>
      <w:r w:rsidRPr="007B7828">
        <w:rPr>
          <w:rFonts w:ascii="Arial Narrow" w:hAnsi="Arial Narrow"/>
        </w:rPr>
        <w:t xml:space="preserve">treatment to which </w:t>
      </w:r>
      <w:r>
        <w:rPr>
          <w:rFonts w:ascii="Arial Narrow" w:hAnsi="Arial Narrow"/>
        </w:rPr>
        <w:t>the applicant</w:t>
      </w:r>
      <w:r w:rsidRPr="007B7828">
        <w:rPr>
          <w:rFonts w:ascii="Arial Narrow" w:hAnsi="Arial Narrow"/>
        </w:rPr>
        <w:t xml:space="preserve"> </w:t>
      </w:r>
      <w:r>
        <w:rPr>
          <w:rFonts w:ascii="Arial Narrow" w:hAnsi="Arial Narrow"/>
        </w:rPr>
        <w:t>had been</w:t>
      </w:r>
      <w:r w:rsidRPr="007B7828">
        <w:rPr>
          <w:rFonts w:ascii="Arial Narrow" w:hAnsi="Arial Narrow"/>
        </w:rPr>
        <w:t xml:space="preserve"> subjected while being held in </w:t>
      </w:r>
      <w:r>
        <w:rPr>
          <w:rFonts w:ascii="Arial Narrow" w:hAnsi="Arial Narrow"/>
        </w:rPr>
        <w:t>the</w:t>
      </w:r>
      <w:r w:rsidRPr="007B7828">
        <w:rPr>
          <w:rFonts w:ascii="Arial Narrow" w:hAnsi="Arial Narrow"/>
        </w:rPr>
        <w:t xml:space="preserve"> hotel</w:t>
      </w:r>
      <w:r>
        <w:rPr>
          <w:rFonts w:ascii="Arial Narrow" w:hAnsi="Arial Narrow"/>
        </w:rPr>
        <w:t xml:space="preserve"> and </w:t>
      </w:r>
      <w:r w:rsidRPr="007B7828">
        <w:rPr>
          <w:rFonts w:ascii="Arial Narrow" w:hAnsi="Arial Narrow"/>
        </w:rPr>
        <w:t>at Skopje Airport, which amounted to torture</w:t>
      </w:r>
      <w:r w:rsidRPr="007B03F8">
        <w:rPr>
          <w:rStyle w:val="FootnoteReference"/>
          <w:rFonts w:ascii="Arial Narrow" w:hAnsi="Arial Narrow"/>
        </w:rPr>
        <w:footnoteReference w:id="28"/>
      </w:r>
      <w:r w:rsidRPr="007B03F8">
        <w:rPr>
          <w:rFonts w:ascii="Arial Narrow" w:hAnsi="Arial Narrow"/>
        </w:rPr>
        <w:t xml:space="preserve">. </w:t>
      </w:r>
      <w:r>
        <w:rPr>
          <w:rFonts w:ascii="Arial Narrow" w:hAnsi="Arial Narrow"/>
        </w:rPr>
        <w:t>The Court also stressed</w:t>
      </w:r>
      <w:r w:rsidRPr="007B03F8">
        <w:rPr>
          <w:rFonts w:ascii="Arial Narrow" w:hAnsi="Arial Narrow"/>
        </w:rPr>
        <w:t xml:space="preserve"> – </w:t>
      </w:r>
      <w:r>
        <w:rPr>
          <w:rFonts w:ascii="Arial Narrow" w:hAnsi="Arial Narrow"/>
        </w:rPr>
        <w:t xml:space="preserve">and this is </w:t>
      </w:r>
      <w:r w:rsidRPr="007B03F8">
        <w:rPr>
          <w:rFonts w:ascii="Arial Narrow" w:hAnsi="Arial Narrow"/>
        </w:rPr>
        <w:t xml:space="preserve">important – </w:t>
      </w:r>
      <w:r>
        <w:rPr>
          <w:rFonts w:ascii="Arial Narrow" w:hAnsi="Arial Narrow"/>
        </w:rPr>
        <w:t xml:space="preserve">that victims and the general public have a right to the </w:t>
      </w:r>
      <w:r w:rsidRPr="007B7828">
        <w:rPr>
          <w:rFonts w:ascii="Arial Narrow" w:hAnsi="Arial Narrow"/>
        </w:rPr>
        <w:t>truth</w:t>
      </w:r>
      <w:r w:rsidRPr="007B03F8">
        <w:rPr>
          <w:rStyle w:val="FootnoteReference"/>
          <w:rFonts w:ascii="Arial Narrow" w:hAnsi="Arial Narrow"/>
        </w:rPr>
        <w:footnoteReference w:id="29"/>
      </w:r>
      <w:r w:rsidRPr="007B03F8">
        <w:rPr>
          <w:rFonts w:ascii="Arial Narrow" w:hAnsi="Arial Narrow"/>
        </w:rPr>
        <w:t xml:space="preserve">. </w:t>
      </w:r>
    </w:p>
    <w:p w14:paraId="2BB426FE" w14:textId="77777777" w:rsidR="00895297" w:rsidRPr="007B03F8" w:rsidRDefault="00895297" w:rsidP="00895297">
      <w:pPr>
        <w:tabs>
          <w:tab w:val="left" w:pos="567"/>
        </w:tabs>
        <w:spacing w:line="480" w:lineRule="auto"/>
        <w:jc w:val="both"/>
        <w:rPr>
          <w:rFonts w:ascii="Arial Narrow" w:hAnsi="Arial Narrow"/>
        </w:rPr>
      </w:pPr>
    </w:p>
    <w:p w14:paraId="3948AFF2" w14:textId="3D1C021E"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rPr>
        <w:tab/>
      </w:r>
      <w:r w:rsidR="003F0F2F">
        <w:rPr>
          <w:rFonts w:ascii="Arial Narrow" w:hAnsi="Arial Narrow"/>
        </w:rPr>
        <w:t>2</w:t>
      </w:r>
      <w:r w:rsidR="008D4FE1">
        <w:rPr>
          <w:rFonts w:ascii="Arial Narrow" w:hAnsi="Arial Narrow"/>
        </w:rPr>
        <w:t>4</w:t>
      </w:r>
      <w:r w:rsidRPr="007B03F8">
        <w:rPr>
          <w:rFonts w:ascii="Arial Narrow" w:hAnsi="Arial Narrow"/>
        </w:rPr>
        <w:t>.  </w:t>
      </w:r>
      <w:r>
        <w:rPr>
          <w:rFonts w:ascii="Arial Narrow" w:hAnsi="Arial Narrow"/>
        </w:rPr>
        <w:t xml:space="preserve">The same situation occurred in Poland, at a CIA “black site”, with </w:t>
      </w:r>
      <w:r w:rsidRPr="003D2F8A">
        <w:rPr>
          <w:rFonts w:ascii="Arial Narrow" w:hAnsi="Arial Narrow"/>
        </w:rPr>
        <w:t>so-called “enhanced interrogation techniques”</w:t>
      </w:r>
      <w:r>
        <w:rPr>
          <w:rFonts w:ascii="Arial Narrow" w:hAnsi="Arial Narrow"/>
        </w:rPr>
        <w:t xml:space="preserve"> and</w:t>
      </w:r>
      <w:r w:rsidRPr="003D2F8A">
        <w:rPr>
          <w:rFonts w:ascii="Arial Narrow" w:hAnsi="Arial Narrow"/>
        </w:rPr>
        <w:t xml:space="preserve"> “unauthori</w:t>
      </w:r>
      <w:r>
        <w:rPr>
          <w:rFonts w:ascii="Arial Narrow" w:hAnsi="Arial Narrow"/>
        </w:rPr>
        <w:t xml:space="preserve">sed” interrogation methods including, </w:t>
      </w:r>
      <w:r w:rsidRPr="003D2F8A">
        <w:rPr>
          <w:rFonts w:ascii="Arial Narrow" w:hAnsi="Arial Narrow"/>
        </w:rPr>
        <w:t>among other things, mock executions, “waterboard technique”, stress positions</w:t>
      </w:r>
      <w:r>
        <w:rPr>
          <w:rFonts w:ascii="Arial Narrow" w:hAnsi="Arial Narrow"/>
        </w:rPr>
        <w:t xml:space="preserve">, confinement in a box and </w:t>
      </w:r>
      <w:r w:rsidRPr="003D2F8A">
        <w:rPr>
          <w:rFonts w:ascii="Arial Narrow" w:hAnsi="Arial Narrow"/>
        </w:rPr>
        <w:t>threat</w:t>
      </w:r>
      <w:r>
        <w:rPr>
          <w:rFonts w:ascii="Arial Narrow" w:hAnsi="Arial Narrow"/>
        </w:rPr>
        <w:t>s</w:t>
      </w:r>
      <w:r w:rsidRPr="003D2F8A">
        <w:rPr>
          <w:rFonts w:ascii="Arial Narrow" w:hAnsi="Arial Narrow"/>
        </w:rPr>
        <w:t xml:space="preserve"> </w:t>
      </w:r>
      <w:r>
        <w:rPr>
          <w:rFonts w:ascii="Arial Narrow" w:hAnsi="Arial Narrow"/>
        </w:rPr>
        <w:t xml:space="preserve">of abuse against the applicants’ families. In the </w:t>
      </w:r>
      <w:r w:rsidRPr="007B03F8">
        <w:rPr>
          <w:rFonts w:ascii="Arial Narrow" w:hAnsi="Arial Narrow"/>
          <w:i/>
        </w:rPr>
        <w:t xml:space="preserve">Al Nashiri </w:t>
      </w:r>
      <w:r>
        <w:rPr>
          <w:rFonts w:ascii="Arial Narrow" w:hAnsi="Arial Narrow"/>
          <w:i/>
        </w:rPr>
        <w:t>v</w:t>
      </w:r>
      <w:r w:rsidRPr="007B03F8">
        <w:rPr>
          <w:rFonts w:ascii="Arial Narrow" w:hAnsi="Arial Narrow"/>
          <w:i/>
        </w:rPr>
        <w:t>. Pol</w:t>
      </w:r>
      <w:r>
        <w:rPr>
          <w:rFonts w:ascii="Arial Narrow" w:hAnsi="Arial Narrow"/>
          <w:i/>
        </w:rPr>
        <w:t>and</w:t>
      </w:r>
      <w:r w:rsidRPr="007B03F8">
        <w:rPr>
          <w:rFonts w:ascii="Arial Narrow" w:hAnsi="Arial Narrow"/>
        </w:rPr>
        <w:t xml:space="preserve"> </w:t>
      </w:r>
      <w:r>
        <w:rPr>
          <w:rFonts w:ascii="Arial Narrow" w:hAnsi="Arial Narrow"/>
        </w:rPr>
        <w:t>judgment of</w:t>
      </w:r>
      <w:r w:rsidRPr="007B03F8">
        <w:rPr>
          <w:rFonts w:ascii="Arial Narrow" w:hAnsi="Arial Narrow"/>
        </w:rPr>
        <w:t xml:space="preserve"> 24 </w:t>
      </w:r>
      <w:r>
        <w:rPr>
          <w:rFonts w:ascii="Arial Narrow" w:hAnsi="Arial Narrow"/>
        </w:rPr>
        <w:t xml:space="preserve">July </w:t>
      </w:r>
      <w:r w:rsidRPr="007B03F8">
        <w:rPr>
          <w:rFonts w:ascii="Arial Narrow" w:hAnsi="Arial Narrow"/>
        </w:rPr>
        <w:t>2014</w:t>
      </w:r>
      <w:r>
        <w:rPr>
          <w:rFonts w:ascii="Arial Narrow" w:hAnsi="Arial Narrow"/>
        </w:rPr>
        <w:t xml:space="preserve"> the Court held that there had been a violation of Article 2</w:t>
      </w:r>
      <w:r w:rsidRPr="007B03F8">
        <w:rPr>
          <w:rFonts w:ascii="Arial Narrow" w:hAnsi="Arial Narrow"/>
        </w:rPr>
        <w:t xml:space="preserve"> </w:t>
      </w:r>
      <w:r>
        <w:rPr>
          <w:rFonts w:ascii="Arial Narrow" w:hAnsi="Arial Narrow"/>
        </w:rPr>
        <w:t>and Article 3 of the Convention taken together with Article 1 of Protocol</w:t>
      </w:r>
      <w:r w:rsidRPr="007B03F8">
        <w:rPr>
          <w:rFonts w:ascii="Arial Narrow" w:hAnsi="Arial Narrow"/>
        </w:rPr>
        <w:t xml:space="preserve"> </w:t>
      </w:r>
      <w:r>
        <w:rPr>
          <w:rFonts w:ascii="Arial Narrow" w:hAnsi="Arial Narrow"/>
        </w:rPr>
        <w:t>No.</w:t>
      </w:r>
      <w:r w:rsidRPr="007B03F8">
        <w:rPr>
          <w:rFonts w:ascii="Arial Narrow" w:hAnsi="Arial Narrow"/>
        </w:rPr>
        <w:t xml:space="preserve"> 6 </w:t>
      </w:r>
      <w:r>
        <w:rPr>
          <w:rFonts w:ascii="Arial Narrow" w:hAnsi="Arial Narrow"/>
        </w:rPr>
        <w:t>concerning the abolition of the death penalty</w:t>
      </w:r>
      <w:r w:rsidRPr="007B03F8">
        <w:rPr>
          <w:rFonts w:ascii="Arial Narrow" w:hAnsi="Arial Narrow"/>
        </w:rPr>
        <w:t>,</w:t>
      </w:r>
      <w:r>
        <w:rPr>
          <w:rFonts w:ascii="Arial Narrow" w:hAnsi="Arial Narrow"/>
        </w:rPr>
        <w:t xml:space="preserve"> finding that Poland had</w:t>
      </w:r>
      <w:r w:rsidRPr="00342C22">
        <w:rPr>
          <w:rFonts w:ascii="Arial Narrow" w:hAnsi="Arial Narrow"/>
        </w:rPr>
        <w:t xml:space="preserve"> enabled the CIA to transfer </w:t>
      </w:r>
      <w:r>
        <w:rPr>
          <w:rFonts w:ascii="Arial Narrow" w:hAnsi="Arial Narrow"/>
        </w:rPr>
        <w:t>the applicant to the jurisdiction of a</w:t>
      </w:r>
      <w:r w:rsidRPr="00342C22">
        <w:rPr>
          <w:rFonts w:ascii="Arial Narrow" w:hAnsi="Arial Narrow"/>
        </w:rPr>
        <w:t xml:space="preserve"> military commission</w:t>
      </w:r>
      <w:r>
        <w:rPr>
          <w:rFonts w:ascii="Arial Narrow" w:hAnsi="Arial Narrow"/>
        </w:rPr>
        <w:t xml:space="preserve"> </w:t>
      </w:r>
      <w:r w:rsidRPr="00435FF6">
        <w:rPr>
          <w:rFonts w:ascii="Arial Narrow" w:hAnsi="Arial Narrow"/>
        </w:rPr>
        <w:t>in Guantanamo</w:t>
      </w:r>
      <w:r w:rsidRPr="00342C22">
        <w:rPr>
          <w:rFonts w:ascii="Arial Narrow" w:hAnsi="Arial Narrow"/>
        </w:rPr>
        <w:t xml:space="preserve"> and thus expos</w:t>
      </w:r>
      <w:r>
        <w:rPr>
          <w:rFonts w:ascii="Arial Narrow" w:hAnsi="Arial Narrow"/>
        </w:rPr>
        <w:t>ed</w:t>
      </w:r>
      <w:r w:rsidRPr="00342C22">
        <w:rPr>
          <w:rFonts w:ascii="Arial Narrow" w:hAnsi="Arial Narrow"/>
        </w:rPr>
        <w:t xml:space="preserve"> him to a foreseeable serious risk</w:t>
      </w:r>
      <w:r>
        <w:rPr>
          <w:rFonts w:ascii="Arial Narrow" w:hAnsi="Arial Narrow"/>
        </w:rPr>
        <w:t xml:space="preserve"> </w:t>
      </w:r>
      <w:r w:rsidRPr="00342C22">
        <w:rPr>
          <w:rFonts w:ascii="Arial Narrow" w:hAnsi="Arial Narrow"/>
        </w:rPr>
        <w:t>that he could be subjected to the death penalty following his trial</w:t>
      </w:r>
      <w:r w:rsidRPr="007B03F8">
        <w:rPr>
          <w:rStyle w:val="FootnoteReference"/>
          <w:rFonts w:ascii="Arial Narrow" w:hAnsi="Arial Narrow"/>
        </w:rPr>
        <w:footnoteReference w:id="30"/>
      </w:r>
      <w:r w:rsidRPr="007B03F8">
        <w:rPr>
          <w:rFonts w:ascii="Arial Narrow" w:hAnsi="Arial Narrow"/>
        </w:rPr>
        <w:t xml:space="preserve">. </w:t>
      </w:r>
    </w:p>
    <w:p w14:paraId="3492B04E" w14:textId="77777777" w:rsidR="00895297" w:rsidRPr="007B03F8" w:rsidRDefault="00895297" w:rsidP="00895297">
      <w:pPr>
        <w:tabs>
          <w:tab w:val="left" w:pos="567"/>
        </w:tabs>
        <w:spacing w:line="480" w:lineRule="auto"/>
        <w:jc w:val="both"/>
        <w:rPr>
          <w:rFonts w:ascii="Arial Narrow" w:hAnsi="Arial Narrow"/>
        </w:rPr>
      </w:pPr>
    </w:p>
    <w:p w14:paraId="7A826E8F" w14:textId="27C77ED0" w:rsidR="00895297" w:rsidRDefault="00895297" w:rsidP="00895297">
      <w:pPr>
        <w:tabs>
          <w:tab w:val="left" w:pos="567"/>
        </w:tabs>
        <w:spacing w:line="480" w:lineRule="auto"/>
        <w:jc w:val="both"/>
        <w:rPr>
          <w:rFonts w:ascii="Arial Narrow" w:hAnsi="Arial Narrow"/>
        </w:rPr>
      </w:pPr>
      <w:r w:rsidRPr="007B03F8">
        <w:rPr>
          <w:rFonts w:ascii="Arial Narrow" w:hAnsi="Arial Narrow"/>
        </w:rPr>
        <w:tab/>
        <w:t>2</w:t>
      </w:r>
      <w:r w:rsidR="008D4FE1">
        <w:rPr>
          <w:rFonts w:ascii="Arial Narrow" w:hAnsi="Arial Narrow"/>
        </w:rPr>
        <w:t>5</w:t>
      </w:r>
      <w:r w:rsidRPr="007B03F8">
        <w:rPr>
          <w:rFonts w:ascii="Arial Narrow" w:hAnsi="Arial Narrow"/>
        </w:rPr>
        <w:t>.  </w:t>
      </w:r>
      <w:r>
        <w:rPr>
          <w:rFonts w:ascii="Arial Narrow" w:hAnsi="Arial Narrow"/>
        </w:rPr>
        <w:t>Following the</w:t>
      </w:r>
      <w:r w:rsidRPr="007B03F8">
        <w:rPr>
          <w:rFonts w:ascii="Arial Narrow" w:hAnsi="Arial Narrow"/>
        </w:rPr>
        <w:t xml:space="preserve"> </w:t>
      </w:r>
      <w:r w:rsidRPr="007B03F8">
        <w:rPr>
          <w:rFonts w:ascii="Arial Narrow" w:hAnsi="Arial Narrow"/>
          <w:i/>
        </w:rPr>
        <w:t xml:space="preserve">Nasr </w:t>
      </w:r>
      <w:r>
        <w:rPr>
          <w:rFonts w:ascii="Arial Narrow" w:hAnsi="Arial Narrow"/>
          <w:i/>
        </w:rPr>
        <w:t>and</w:t>
      </w:r>
      <w:r w:rsidRPr="007B03F8">
        <w:rPr>
          <w:rFonts w:ascii="Arial Narrow" w:hAnsi="Arial Narrow"/>
          <w:i/>
        </w:rPr>
        <w:t xml:space="preserve"> Ghali </w:t>
      </w:r>
      <w:r>
        <w:rPr>
          <w:rFonts w:ascii="Arial Narrow" w:hAnsi="Arial Narrow"/>
          <w:i/>
        </w:rPr>
        <w:t>v</w:t>
      </w:r>
      <w:r w:rsidRPr="007B03F8">
        <w:rPr>
          <w:rFonts w:ascii="Arial Narrow" w:hAnsi="Arial Narrow"/>
          <w:i/>
        </w:rPr>
        <w:t>. Ital</w:t>
      </w:r>
      <w:r>
        <w:rPr>
          <w:rFonts w:ascii="Arial Narrow" w:hAnsi="Arial Narrow"/>
          <w:i/>
        </w:rPr>
        <w:t>y</w:t>
      </w:r>
      <w:r w:rsidRPr="007B03F8">
        <w:rPr>
          <w:rFonts w:ascii="Arial Narrow" w:hAnsi="Arial Narrow"/>
        </w:rPr>
        <w:t xml:space="preserve"> </w:t>
      </w:r>
      <w:r>
        <w:rPr>
          <w:rFonts w:ascii="Arial Narrow" w:hAnsi="Arial Narrow"/>
        </w:rPr>
        <w:t>judgment of 23 February</w:t>
      </w:r>
      <w:r w:rsidRPr="007B03F8">
        <w:rPr>
          <w:rFonts w:ascii="Arial Narrow" w:hAnsi="Arial Narrow"/>
        </w:rPr>
        <w:t xml:space="preserve"> 2016</w:t>
      </w:r>
      <w:r>
        <w:rPr>
          <w:rFonts w:ascii="Arial Narrow" w:hAnsi="Arial Narrow"/>
        </w:rPr>
        <w:t xml:space="preserve">, which concerned the abduction </w:t>
      </w:r>
      <w:r w:rsidRPr="007F6724">
        <w:rPr>
          <w:rFonts w:ascii="Arial Narrow" w:hAnsi="Arial Narrow"/>
        </w:rPr>
        <w:t xml:space="preserve">by CIA agents, with the cooperation of Italian officials, </w:t>
      </w:r>
      <w:r>
        <w:rPr>
          <w:rFonts w:ascii="Arial Narrow" w:hAnsi="Arial Narrow"/>
        </w:rPr>
        <w:t xml:space="preserve">of a political refugee, and his subsequent transfer to Egypt </w:t>
      </w:r>
      <w:r w:rsidRPr="007F6724">
        <w:rPr>
          <w:rFonts w:ascii="Arial Narrow" w:hAnsi="Arial Narrow"/>
        </w:rPr>
        <w:t>where he was</w:t>
      </w:r>
      <w:r>
        <w:rPr>
          <w:rFonts w:ascii="Arial Narrow" w:hAnsi="Arial Narrow"/>
        </w:rPr>
        <w:t xml:space="preserve"> </w:t>
      </w:r>
      <w:r w:rsidRPr="007F6724">
        <w:rPr>
          <w:rFonts w:ascii="Arial Narrow" w:hAnsi="Arial Narrow"/>
        </w:rPr>
        <w:t>held in secret for several months</w:t>
      </w:r>
      <w:r>
        <w:rPr>
          <w:rFonts w:ascii="Arial Narrow" w:hAnsi="Arial Narrow"/>
        </w:rPr>
        <w:t xml:space="preserve"> in extreme conditions, where the Court also found a violation of Article 3 of the Convention</w:t>
      </w:r>
      <w:r w:rsidRPr="007B03F8">
        <w:rPr>
          <w:rStyle w:val="FootnoteReference"/>
          <w:rFonts w:ascii="Arial Narrow" w:hAnsi="Arial Narrow"/>
        </w:rPr>
        <w:footnoteReference w:id="31"/>
      </w:r>
      <w:r w:rsidRPr="007B03F8">
        <w:rPr>
          <w:rFonts w:ascii="Arial Narrow" w:hAnsi="Arial Narrow"/>
        </w:rPr>
        <w:t xml:space="preserve">, </w:t>
      </w:r>
      <w:r>
        <w:rPr>
          <w:rFonts w:ascii="Arial Narrow" w:hAnsi="Arial Narrow"/>
        </w:rPr>
        <w:t xml:space="preserve">cases are still pending before the Court today, involving Romania and Lithuania, in which the Court held hearings on 29 June </w:t>
      </w:r>
      <w:r w:rsidRPr="007B03F8">
        <w:rPr>
          <w:rFonts w:ascii="Arial Narrow" w:hAnsi="Arial Narrow"/>
        </w:rPr>
        <w:t>2016</w:t>
      </w:r>
      <w:r w:rsidRPr="007B03F8">
        <w:rPr>
          <w:rStyle w:val="FootnoteReference"/>
          <w:rFonts w:ascii="Arial Narrow" w:hAnsi="Arial Narrow"/>
        </w:rPr>
        <w:footnoteReference w:id="32"/>
      </w:r>
      <w:r w:rsidRPr="007B03F8">
        <w:rPr>
          <w:rFonts w:ascii="Arial Narrow" w:hAnsi="Arial Narrow"/>
        </w:rPr>
        <w:t>.</w:t>
      </w:r>
      <w:r>
        <w:rPr>
          <w:rFonts w:ascii="Arial Narrow" w:hAnsi="Arial Narrow"/>
        </w:rPr>
        <w:t xml:space="preserve"> Both applications concern alleged renditions</w:t>
      </w:r>
      <w:r w:rsidRPr="001A002E">
        <w:rPr>
          <w:rFonts w:ascii="Arial Narrow" w:hAnsi="Arial Narrow"/>
        </w:rPr>
        <w:t xml:space="preserve"> of </w:t>
      </w:r>
      <w:r>
        <w:rPr>
          <w:rFonts w:ascii="Arial Narrow" w:hAnsi="Arial Narrow"/>
        </w:rPr>
        <w:t>persons</w:t>
      </w:r>
      <w:r w:rsidRPr="001A002E">
        <w:rPr>
          <w:rFonts w:ascii="Arial Narrow" w:hAnsi="Arial Narrow"/>
        </w:rPr>
        <w:t xml:space="preserve"> suspected of terrorist acts to CIA secret detention</w:t>
      </w:r>
      <w:r>
        <w:rPr>
          <w:rFonts w:ascii="Arial Narrow" w:hAnsi="Arial Narrow"/>
        </w:rPr>
        <w:t xml:space="preserve"> </w:t>
      </w:r>
      <w:r w:rsidRPr="001A002E">
        <w:rPr>
          <w:rFonts w:ascii="Arial Narrow" w:hAnsi="Arial Narrow"/>
        </w:rPr>
        <w:t>sites at which</w:t>
      </w:r>
      <w:r>
        <w:rPr>
          <w:rFonts w:ascii="Arial Narrow" w:hAnsi="Arial Narrow"/>
        </w:rPr>
        <w:t>, according to the applicants’ submissions,</w:t>
      </w:r>
      <w:r w:rsidRPr="001A002E">
        <w:rPr>
          <w:rFonts w:ascii="Arial Narrow" w:hAnsi="Arial Narrow"/>
        </w:rPr>
        <w:t xml:space="preserve"> interrogation methods </w:t>
      </w:r>
      <w:r>
        <w:rPr>
          <w:rFonts w:ascii="Arial Narrow" w:hAnsi="Arial Narrow"/>
        </w:rPr>
        <w:t xml:space="preserve">amounting to torture </w:t>
      </w:r>
      <w:r w:rsidRPr="001A002E">
        <w:rPr>
          <w:rFonts w:ascii="Arial Narrow" w:hAnsi="Arial Narrow"/>
        </w:rPr>
        <w:t>were used</w:t>
      </w:r>
      <w:r>
        <w:rPr>
          <w:rFonts w:ascii="Arial Narrow" w:hAnsi="Arial Narrow"/>
        </w:rPr>
        <w:t>. T</w:t>
      </w:r>
      <w:r w:rsidRPr="001A002E">
        <w:rPr>
          <w:rFonts w:ascii="Arial Narrow" w:hAnsi="Arial Narrow"/>
        </w:rPr>
        <w:t>he U</w:t>
      </w:r>
      <w:r>
        <w:rPr>
          <w:rFonts w:ascii="Arial Narrow" w:hAnsi="Arial Narrow"/>
        </w:rPr>
        <w:t xml:space="preserve">nited </w:t>
      </w:r>
      <w:r w:rsidRPr="001A002E">
        <w:rPr>
          <w:rFonts w:ascii="Arial Narrow" w:hAnsi="Arial Narrow"/>
        </w:rPr>
        <w:t>N</w:t>
      </w:r>
      <w:r>
        <w:rPr>
          <w:rFonts w:ascii="Arial Narrow" w:hAnsi="Arial Narrow"/>
        </w:rPr>
        <w:t>ations</w:t>
      </w:r>
      <w:r w:rsidRPr="001A002E">
        <w:rPr>
          <w:rFonts w:ascii="Arial Narrow" w:hAnsi="Arial Narrow"/>
        </w:rPr>
        <w:t xml:space="preserve"> Special Rapporteur on the promotion and protection of </w:t>
      </w:r>
      <w:r>
        <w:rPr>
          <w:rFonts w:ascii="Arial Narrow" w:hAnsi="Arial Narrow"/>
        </w:rPr>
        <w:t>human</w:t>
      </w:r>
      <w:r w:rsidRPr="007B03F8">
        <w:rPr>
          <w:rFonts w:ascii="Arial Narrow" w:hAnsi="Arial Narrow"/>
        </w:rPr>
        <w:t> </w:t>
      </w:r>
      <w:r w:rsidRPr="001A002E">
        <w:rPr>
          <w:rFonts w:ascii="Arial Narrow" w:hAnsi="Arial Narrow"/>
        </w:rPr>
        <w:t>rights and</w:t>
      </w:r>
      <w:r>
        <w:rPr>
          <w:rFonts w:ascii="Arial Narrow" w:hAnsi="Arial Narrow"/>
        </w:rPr>
        <w:t xml:space="preserve"> </w:t>
      </w:r>
      <w:r w:rsidRPr="001A002E">
        <w:rPr>
          <w:rFonts w:ascii="Arial Narrow" w:hAnsi="Arial Narrow"/>
        </w:rPr>
        <w:t>fundamental freedoms while countering terrorism was</w:t>
      </w:r>
      <w:r>
        <w:rPr>
          <w:rFonts w:ascii="Arial Narrow" w:hAnsi="Arial Narrow"/>
        </w:rPr>
        <w:t>, among others,</w:t>
      </w:r>
      <w:r w:rsidRPr="001A002E">
        <w:rPr>
          <w:rFonts w:ascii="Arial Narrow" w:hAnsi="Arial Narrow"/>
        </w:rPr>
        <w:t xml:space="preserve"> invited to submit </w:t>
      </w:r>
      <w:r>
        <w:rPr>
          <w:rFonts w:ascii="Arial Narrow" w:hAnsi="Arial Narrow"/>
        </w:rPr>
        <w:t xml:space="preserve">written </w:t>
      </w:r>
      <w:r w:rsidRPr="001A002E">
        <w:rPr>
          <w:rFonts w:ascii="Arial Narrow" w:hAnsi="Arial Narrow"/>
        </w:rPr>
        <w:t>comments as a third party</w:t>
      </w:r>
      <w:r>
        <w:rPr>
          <w:rFonts w:ascii="Arial Narrow" w:hAnsi="Arial Narrow"/>
        </w:rPr>
        <w:t xml:space="preserve"> and </w:t>
      </w:r>
      <w:r w:rsidRPr="001A002E">
        <w:rPr>
          <w:rFonts w:ascii="Arial Narrow" w:hAnsi="Arial Narrow"/>
        </w:rPr>
        <w:t>to take part in the hearing</w:t>
      </w:r>
      <w:r>
        <w:rPr>
          <w:rFonts w:ascii="Arial Narrow" w:hAnsi="Arial Narrow"/>
        </w:rPr>
        <w:t xml:space="preserve">s. </w:t>
      </w:r>
    </w:p>
    <w:p w14:paraId="78D85610" w14:textId="77777777" w:rsidR="00895297" w:rsidRPr="007B03F8" w:rsidRDefault="00895297" w:rsidP="00895297">
      <w:pPr>
        <w:tabs>
          <w:tab w:val="left" w:pos="567"/>
        </w:tabs>
        <w:spacing w:line="480" w:lineRule="auto"/>
        <w:jc w:val="both"/>
        <w:rPr>
          <w:rFonts w:ascii="Arial Narrow" w:hAnsi="Arial Narrow"/>
        </w:rPr>
      </w:pPr>
    </w:p>
    <w:p w14:paraId="1E6A963B" w14:textId="77777777" w:rsidR="00895297" w:rsidRPr="007B03F8" w:rsidRDefault="00895297" w:rsidP="00895297">
      <w:pPr>
        <w:tabs>
          <w:tab w:val="left" w:pos="851"/>
        </w:tabs>
        <w:spacing w:line="480" w:lineRule="auto"/>
        <w:jc w:val="both"/>
        <w:rPr>
          <w:rFonts w:ascii="Arial Narrow" w:hAnsi="Arial Narrow"/>
          <w:b/>
          <w:i/>
        </w:rPr>
      </w:pPr>
      <w:r w:rsidRPr="007B03F8">
        <w:rPr>
          <w:rFonts w:ascii="Arial Narrow" w:hAnsi="Arial Narrow"/>
          <w:b/>
          <w:i/>
        </w:rPr>
        <w:tab/>
      </w:r>
      <w:r>
        <w:rPr>
          <w:rFonts w:ascii="Arial Narrow" w:hAnsi="Arial Narrow"/>
          <w:b/>
          <w:i/>
        </w:rPr>
        <w:t>The risk of arbitrariness</w:t>
      </w:r>
    </w:p>
    <w:p w14:paraId="7A1216FE" w14:textId="77777777" w:rsidR="00895297" w:rsidRPr="007B03F8" w:rsidRDefault="00895297" w:rsidP="00895297">
      <w:pPr>
        <w:tabs>
          <w:tab w:val="left" w:pos="567"/>
        </w:tabs>
        <w:spacing w:line="480" w:lineRule="auto"/>
        <w:jc w:val="both"/>
        <w:rPr>
          <w:rFonts w:ascii="Arial Narrow" w:hAnsi="Arial Narrow"/>
        </w:rPr>
      </w:pPr>
    </w:p>
    <w:p w14:paraId="23090C01" w14:textId="080185C9" w:rsidR="00895297" w:rsidRDefault="00895297" w:rsidP="00895297">
      <w:pPr>
        <w:tabs>
          <w:tab w:val="left" w:pos="567"/>
        </w:tabs>
        <w:spacing w:line="480" w:lineRule="auto"/>
        <w:jc w:val="both"/>
        <w:rPr>
          <w:rFonts w:ascii="Arial Narrow" w:hAnsi="Arial Narrow"/>
        </w:rPr>
      </w:pPr>
      <w:r w:rsidRPr="007B03F8">
        <w:rPr>
          <w:rFonts w:ascii="Arial Narrow" w:hAnsi="Arial Narrow"/>
        </w:rPr>
        <w:tab/>
        <w:t>2</w:t>
      </w:r>
      <w:r w:rsidR="008D4FE1">
        <w:rPr>
          <w:rFonts w:ascii="Arial Narrow" w:hAnsi="Arial Narrow"/>
        </w:rPr>
        <w:t>6</w:t>
      </w:r>
      <w:r w:rsidRPr="007B03F8">
        <w:rPr>
          <w:rFonts w:ascii="Arial Narrow" w:hAnsi="Arial Narrow"/>
        </w:rPr>
        <w:t>.  </w:t>
      </w:r>
      <w:r>
        <w:rPr>
          <w:rFonts w:ascii="Arial Narrow" w:hAnsi="Arial Narrow"/>
        </w:rPr>
        <w:t>When the obligation to combat terrorism requires special prevention and prosecution strategies or measures</w:t>
      </w:r>
      <w:r w:rsidRPr="007B03F8">
        <w:rPr>
          <w:rFonts w:ascii="Arial Narrow" w:hAnsi="Arial Narrow"/>
        </w:rPr>
        <w:t>,</w:t>
      </w:r>
      <w:r>
        <w:rPr>
          <w:rFonts w:ascii="Arial Narrow" w:hAnsi="Arial Narrow"/>
        </w:rPr>
        <w:t xml:space="preserve"> such measures must be carried out in a way fully in line with the principles of the rule of law in order to ensure control over the relevance and the necessity of the counter-terrorism measures</w:t>
      </w:r>
      <w:r w:rsidRPr="007B03F8">
        <w:rPr>
          <w:rFonts w:ascii="Arial Narrow" w:hAnsi="Arial Narrow"/>
        </w:rPr>
        <w:t xml:space="preserve"> </w:t>
      </w:r>
      <w:r>
        <w:rPr>
          <w:rFonts w:ascii="Arial Narrow" w:hAnsi="Arial Narrow"/>
        </w:rPr>
        <w:t xml:space="preserve">and avoid the risk of arbitrariness. </w:t>
      </w:r>
    </w:p>
    <w:p w14:paraId="2D1E5443" w14:textId="77777777" w:rsidR="00895297" w:rsidRDefault="00895297" w:rsidP="00895297">
      <w:pPr>
        <w:tabs>
          <w:tab w:val="left" w:pos="567"/>
        </w:tabs>
        <w:spacing w:line="480" w:lineRule="auto"/>
        <w:jc w:val="both"/>
        <w:rPr>
          <w:rFonts w:ascii="Arial Narrow" w:hAnsi="Arial Narrow"/>
        </w:rPr>
      </w:pPr>
    </w:p>
    <w:p w14:paraId="7F935644" w14:textId="7698E3B0" w:rsidR="00895297" w:rsidRPr="007B03F8" w:rsidRDefault="00895297" w:rsidP="00895297">
      <w:pPr>
        <w:tabs>
          <w:tab w:val="left" w:pos="567"/>
        </w:tabs>
        <w:spacing w:line="480" w:lineRule="auto"/>
        <w:jc w:val="both"/>
        <w:rPr>
          <w:rFonts w:ascii="Arial Narrow" w:hAnsi="Arial Narrow"/>
        </w:rPr>
      </w:pPr>
      <w:r>
        <w:rPr>
          <w:rFonts w:ascii="Arial Narrow" w:hAnsi="Arial Narrow"/>
        </w:rPr>
        <w:tab/>
      </w:r>
      <w:r w:rsidRPr="007B03F8">
        <w:rPr>
          <w:rFonts w:ascii="Arial Narrow" w:hAnsi="Arial Narrow"/>
        </w:rPr>
        <w:t>2</w:t>
      </w:r>
      <w:r w:rsidR="008D4FE1">
        <w:rPr>
          <w:rFonts w:ascii="Arial Narrow" w:hAnsi="Arial Narrow"/>
        </w:rPr>
        <w:t>7</w:t>
      </w:r>
      <w:r w:rsidRPr="007B03F8">
        <w:rPr>
          <w:rFonts w:ascii="Arial Narrow" w:hAnsi="Arial Narrow"/>
        </w:rPr>
        <w:t>.  </w:t>
      </w:r>
      <w:r w:rsidR="00727986">
        <w:rPr>
          <w:rFonts w:ascii="Arial Narrow" w:hAnsi="Arial Narrow"/>
        </w:rPr>
        <w:t>What is arbitrariness? In a nutshell, a</w:t>
      </w:r>
      <w:r w:rsidRPr="00F6707B">
        <w:rPr>
          <w:rFonts w:ascii="Arial Narrow" w:hAnsi="Arial Narrow"/>
        </w:rPr>
        <w:t xml:space="preserve">rbitrariness is </w:t>
      </w:r>
      <w:r w:rsidR="00727986">
        <w:rPr>
          <w:rFonts w:ascii="Arial Narrow" w:hAnsi="Arial Narrow"/>
        </w:rPr>
        <w:t>the</w:t>
      </w:r>
      <w:r w:rsidRPr="00F6707B">
        <w:rPr>
          <w:rFonts w:ascii="Arial Narrow" w:hAnsi="Arial Narrow"/>
        </w:rPr>
        <w:t xml:space="preserve"> ability to decide free from </w:t>
      </w:r>
      <w:r w:rsidR="00727986">
        <w:rPr>
          <w:rFonts w:ascii="Arial Narrow" w:hAnsi="Arial Narrow"/>
        </w:rPr>
        <w:t>any rule</w:t>
      </w:r>
      <w:r w:rsidR="00DB6C7C">
        <w:rPr>
          <w:rFonts w:ascii="Arial Narrow" w:hAnsi="Arial Narrow"/>
        </w:rPr>
        <w:t>. It</w:t>
      </w:r>
      <w:r w:rsidR="00DB6C7C" w:rsidRPr="00F6707B">
        <w:rPr>
          <w:rFonts w:ascii="Arial Narrow" w:hAnsi="Arial Narrow"/>
        </w:rPr>
        <w:t> </w:t>
      </w:r>
      <w:r w:rsidRPr="00F6707B">
        <w:rPr>
          <w:rFonts w:ascii="Arial Narrow" w:hAnsi="Arial Narrow"/>
        </w:rPr>
        <w:t>targets decision</w:t>
      </w:r>
      <w:r>
        <w:rPr>
          <w:rFonts w:ascii="Arial Narrow" w:hAnsi="Arial Narrow"/>
        </w:rPr>
        <w:t>s which are</w:t>
      </w:r>
      <w:r w:rsidRPr="00F6707B">
        <w:rPr>
          <w:rFonts w:ascii="Arial Narrow" w:hAnsi="Arial Narrow"/>
        </w:rPr>
        <w:t xml:space="preserve"> outside a normative framework and </w:t>
      </w:r>
      <w:r w:rsidRPr="00DB4642">
        <w:rPr>
          <w:rFonts w:ascii="Arial Narrow" w:hAnsi="Arial Narrow"/>
        </w:rPr>
        <w:t xml:space="preserve">refers to a power </w:t>
      </w:r>
      <w:r w:rsidR="00DB6C7C">
        <w:rPr>
          <w:rFonts w:ascii="Arial Narrow" w:hAnsi="Arial Narrow"/>
        </w:rPr>
        <w:t>without any</w:t>
      </w:r>
      <w:r w:rsidRPr="00DB4642">
        <w:rPr>
          <w:rFonts w:ascii="Arial Narrow" w:hAnsi="Arial Narrow"/>
        </w:rPr>
        <w:t xml:space="preserve"> control</w:t>
      </w:r>
      <w:r w:rsidR="00DB6C7C">
        <w:rPr>
          <w:rFonts w:ascii="Arial Narrow" w:hAnsi="Arial Narrow"/>
        </w:rPr>
        <w:t xml:space="preserve"> and accountability</w:t>
      </w:r>
      <w:r w:rsidRPr="00DB4642">
        <w:rPr>
          <w:rFonts w:ascii="Arial Narrow" w:hAnsi="Arial Narrow"/>
        </w:rPr>
        <w:t xml:space="preserve">. The existence of a principle of legality– substantive legality and procedural legality – </w:t>
      </w:r>
      <w:r>
        <w:rPr>
          <w:rFonts w:ascii="Arial Narrow" w:hAnsi="Arial Narrow"/>
        </w:rPr>
        <w:t>is the main guarantee against arbitrary government decisions</w:t>
      </w:r>
      <w:r w:rsidRPr="00F6707B">
        <w:rPr>
          <w:rStyle w:val="FootnoteReference"/>
          <w:rFonts w:ascii="Arial Narrow" w:hAnsi="Arial Narrow"/>
        </w:rPr>
        <w:footnoteReference w:id="33"/>
      </w:r>
      <w:r w:rsidRPr="00F6707B">
        <w:rPr>
          <w:rFonts w:ascii="Arial Narrow" w:hAnsi="Arial Narrow"/>
        </w:rPr>
        <w:t>.</w:t>
      </w:r>
    </w:p>
    <w:p w14:paraId="52617D4A" w14:textId="77777777" w:rsidR="00895297" w:rsidRPr="007B03F8" w:rsidRDefault="00895297" w:rsidP="00895297">
      <w:pPr>
        <w:tabs>
          <w:tab w:val="left" w:pos="567"/>
        </w:tabs>
        <w:spacing w:line="480" w:lineRule="auto"/>
        <w:jc w:val="both"/>
        <w:rPr>
          <w:rFonts w:ascii="Arial Narrow" w:hAnsi="Arial Narrow"/>
        </w:rPr>
      </w:pPr>
    </w:p>
    <w:p w14:paraId="01107334" w14:textId="295E678E" w:rsidR="00895297" w:rsidRPr="007B03F8" w:rsidRDefault="00895297" w:rsidP="00895297">
      <w:pPr>
        <w:tabs>
          <w:tab w:val="left" w:pos="567"/>
        </w:tabs>
        <w:spacing w:line="480" w:lineRule="auto"/>
        <w:jc w:val="both"/>
        <w:rPr>
          <w:rFonts w:ascii="Arial Narrow" w:hAnsi="Arial Narrow"/>
        </w:rPr>
      </w:pPr>
      <w:r w:rsidRPr="007B03F8">
        <w:rPr>
          <w:rFonts w:ascii="Arial Narrow" w:hAnsi="Arial Narrow"/>
        </w:rPr>
        <w:tab/>
        <w:t>2</w:t>
      </w:r>
      <w:r w:rsidR="008D4FE1">
        <w:rPr>
          <w:rFonts w:ascii="Arial Narrow" w:hAnsi="Arial Narrow"/>
        </w:rPr>
        <w:t>8</w:t>
      </w:r>
      <w:r w:rsidRPr="007B03F8">
        <w:rPr>
          <w:rFonts w:ascii="Arial Narrow" w:hAnsi="Arial Narrow"/>
        </w:rPr>
        <w:t>.  </w:t>
      </w:r>
      <w:r>
        <w:rPr>
          <w:rFonts w:ascii="Arial Narrow" w:hAnsi="Arial Narrow"/>
        </w:rPr>
        <w:t>Numerous judgments of the European Court are eminently indicative of the pressing need for such a control</w:t>
      </w:r>
      <w:r w:rsidRPr="007B03F8">
        <w:rPr>
          <w:rFonts w:ascii="Arial Narrow" w:hAnsi="Arial Narrow"/>
        </w:rPr>
        <w:t xml:space="preserve">. In the Grand Chamber judgment </w:t>
      </w:r>
      <w:r w:rsidRPr="007B03F8">
        <w:rPr>
          <w:rFonts w:ascii="Arial Narrow" w:hAnsi="Arial Narrow"/>
          <w:i/>
        </w:rPr>
        <w:t>Del Río Prada v. Spain</w:t>
      </w:r>
      <w:r w:rsidRPr="007B03F8">
        <w:rPr>
          <w:rFonts w:ascii="Arial Narrow" w:hAnsi="Arial Narrow"/>
        </w:rPr>
        <w:t xml:space="preserve"> of 21 October 2013, the</w:t>
      </w:r>
      <w:r>
        <w:rPr>
          <w:rFonts w:ascii="Arial Narrow" w:hAnsi="Arial Narrow"/>
        </w:rPr>
        <w:t> </w:t>
      </w:r>
      <w:r w:rsidRPr="007B03F8">
        <w:rPr>
          <w:rFonts w:ascii="Arial Narrow" w:hAnsi="Arial Narrow"/>
        </w:rPr>
        <w:t>applicant, who was serving a prison sentence of 30 years for being a member of a terrorist organisation, alleged that what she considered to be the retroactive application of a departure from the case-law by the Supreme Court after she had been convicted, had extended her detention by almost nine years, in violation of Article 7 of the Convention. The Court recalled that “[t]he guarantee enshrined in Article 7 … should be construed and applied, as follows from its object and purpose, in such a way as to provide effective safeguards against arbitrary prosecution, conviction and punishment”</w:t>
      </w:r>
      <w:r w:rsidRPr="007B03F8">
        <w:rPr>
          <w:rStyle w:val="FootnoteReference"/>
          <w:rFonts w:ascii="Arial Narrow" w:hAnsi="Arial Narrow"/>
        </w:rPr>
        <w:footnoteReference w:id="34"/>
      </w:r>
      <w:r w:rsidRPr="007B03F8">
        <w:rPr>
          <w:rFonts w:ascii="Arial Narrow" w:hAnsi="Arial Narrow"/>
        </w:rPr>
        <w:t xml:space="preserve">. In this respect, it noted “that the </w:t>
      </w:r>
      <w:r w:rsidRPr="007B03F8">
        <w:rPr>
          <w:rFonts w:ascii="Arial Narrow" w:hAnsi="Arial Narrow"/>
          <w:i/>
        </w:rPr>
        <w:t>Audiencia Nacional</w:t>
      </w:r>
      <w:r w:rsidRPr="007B03F8">
        <w:rPr>
          <w:rFonts w:ascii="Arial Narrow" w:hAnsi="Arial Narrow"/>
        </w:rPr>
        <w:t xml:space="preserve"> used the new method of application of remissions of sentence for work done in detention introduced by the “Parot doctrine” rather than the method in use at the time of the commission of the offences and the applicant’s conviction, thus depriving her of any real prospect of benefiting from the remissions of sentence to which she was nevertheless entitled in accordance with the law. … This change in the system for applying remissions of sentence was the result of the Supreme Court’s departure from previous case-law, as opposed to a change in legislation”</w:t>
      </w:r>
      <w:r w:rsidRPr="007B03F8">
        <w:rPr>
          <w:rStyle w:val="FootnoteReference"/>
          <w:rFonts w:ascii="Arial Narrow" w:hAnsi="Arial Narrow"/>
        </w:rPr>
        <w:footnoteReference w:id="35"/>
      </w:r>
      <w:r w:rsidRPr="007B03F8">
        <w:rPr>
          <w:rFonts w:ascii="Arial Narrow" w:hAnsi="Arial Narrow"/>
        </w:rPr>
        <w:t>. In this connection, “while th</w:t>
      </w:r>
      <w:r>
        <w:rPr>
          <w:rFonts w:ascii="Arial Narrow" w:hAnsi="Arial Narrow"/>
        </w:rPr>
        <w:t>e Court accepts that the S</w:t>
      </w:r>
      <w:r w:rsidRPr="007B03F8">
        <w:rPr>
          <w:rFonts w:ascii="Arial Narrow" w:hAnsi="Arial Narrow"/>
        </w:rPr>
        <w:t xml:space="preserve">tates are free to determine their own criminal policy, for example by increasing the penalties applicable to criminal offences …, they must comply with the requirements of Article 7 in doing so … On this point, the Court reiterates that Article 7 of the Convention unconditionally prohibits the retrospective application of the criminal law where it </w:t>
      </w:r>
      <w:r w:rsidR="00DB6C7C">
        <w:rPr>
          <w:rFonts w:ascii="Arial Narrow" w:hAnsi="Arial Narrow"/>
        </w:rPr>
        <w:t>is to an accused’s disadvantage</w:t>
      </w:r>
      <w:r w:rsidRPr="007B03F8">
        <w:rPr>
          <w:rFonts w:ascii="Arial Narrow" w:hAnsi="Arial Narrow"/>
        </w:rPr>
        <w:t xml:space="preserve"> …”</w:t>
      </w:r>
      <w:r w:rsidRPr="007B03F8">
        <w:rPr>
          <w:rStyle w:val="FootnoteReference"/>
          <w:rFonts w:ascii="Arial Narrow" w:hAnsi="Arial Narrow"/>
        </w:rPr>
        <w:footnoteReference w:id="36"/>
      </w:r>
      <w:r w:rsidRPr="007B03F8">
        <w:rPr>
          <w:rFonts w:ascii="Arial Narrow" w:hAnsi="Arial Narrow"/>
        </w:rPr>
        <w:t>.</w:t>
      </w:r>
    </w:p>
    <w:p w14:paraId="6F2033E8" w14:textId="77777777" w:rsidR="00895297" w:rsidRPr="007B03F8" w:rsidRDefault="00895297" w:rsidP="00895297">
      <w:pPr>
        <w:tabs>
          <w:tab w:val="left" w:pos="567"/>
        </w:tabs>
        <w:spacing w:line="480" w:lineRule="auto"/>
        <w:jc w:val="both"/>
        <w:rPr>
          <w:rFonts w:ascii="Arial Narrow" w:hAnsi="Arial Narrow"/>
        </w:rPr>
      </w:pPr>
    </w:p>
    <w:p w14:paraId="417436F4" w14:textId="09125722" w:rsidR="00895297" w:rsidRDefault="00895297" w:rsidP="00895297">
      <w:pPr>
        <w:tabs>
          <w:tab w:val="left" w:pos="567"/>
        </w:tabs>
        <w:spacing w:line="480" w:lineRule="auto"/>
        <w:jc w:val="both"/>
        <w:rPr>
          <w:rFonts w:ascii="Arial Narrow" w:hAnsi="Arial Narrow"/>
        </w:rPr>
      </w:pPr>
      <w:r w:rsidRPr="007B03F8">
        <w:rPr>
          <w:rFonts w:ascii="Arial Narrow" w:hAnsi="Arial Narrow"/>
        </w:rPr>
        <w:tab/>
        <w:t>2</w:t>
      </w:r>
      <w:r w:rsidR="008D4FE1">
        <w:rPr>
          <w:rFonts w:ascii="Arial Narrow" w:hAnsi="Arial Narrow"/>
        </w:rPr>
        <w:t>9</w:t>
      </w:r>
      <w:r w:rsidRPr="007B03F8">
        <w:rPr>
          <w:rFonts w:ascii="Arial Narrow" w:hAnsi="Arial Narrow"/>
        </w:rPr>
        <w:t>. </w:t>
      </w:r>
      <w:r w:rsidRPr="00225529">
        <w:rPr>
          <w:rFonts w:ascii="Arial Narrow" w:hAnsi="Arial Narrow"/>
        </w:rPr>
        <w:t xml:space="preserve">Deprivations of liberty </w:t>
      </w:r>
      <w:r>
        <w:rPr>
          <w:rFonts w:ascii="Arial Narrow" w:hAnsi="Arial Narrow"/>
        </w:rPr>
        <w:t xml:space="preserve">are the place </w:t>
      </w:r>
      <w:r w:rsidRPr="00225529">
        <w:rPr>
          <w:rFonts w:ascii="Arial Narrow" w:hAnsi="Arial Narrow"/>
          <w:i/>
        </w:rPr>
        <w:t>par excellence</w:t>
      </w:r>
      <w:r w:rsidRPr="00225529">
        <w:rPr>
          <w:rFonts w:ascii="Arial Narrow" w:hAnsi="Arial Narrow"/>
        </w:rPr>
        <w:t xml:space="preserve"> </w:t>
      </w:r>
      <w:r>
        <w:rPr>
          <w:rFonts w:ascii="Arial Narrow" w:hAnsi="Arial Narrow"/>
        </w:rPr>
        <w:t>where there is a</w:t>
      </w:r>
      <w:r w:rsidRPr="00225529">
        <w:rPr>
          <w:rFonts w:ascii="Arial Narrow" w:hAnsi="Arial Narrow"/>
        </w:rPr>
        <w:t xml:space="preserve"> risk of arbitrariness. </w:t>
      </w:r>
      <w:r>
        <w:rPr>
          <w:rFonts w:ascii="Arial Narrow" w:hAnsi="Arial Narrow"/>
        </w:rPr>
        <w:t>The </w:t>
      </w:r>
      <w:r>
        <w:rPr>
          <w:rFonts w:ascii="Arial Narrow" w:hAnsi="Arial Narrow"/>
          <w:i/>
        </w:rPr>
        <w:t xml:space="preserve">Sher and Others v. the United Kingdom </w:t>
      </w:r>
      <w:r>
        <w:rPr>
          <w:rFonts w:ascii="Arial Narrow" w:hAnsi="Arial Narrow"/>
        </w:rPr>
        <w:t>judgment of</w:t>
      </w:r>
      <w:r w:rsidRPr="007B03F8">
        <w:rPr>
          <w:rFonts w:ascii="Arial Narrow" w:hAnsi="Arial Narrow"/>
        </w:rPr>
        <w:t xml:space="preserve"> 20 </w:t>
      </w:r>
      <w:r>
        <w:rPr>
          <w:rFonts w:ascii="Arial Narrow" w:hAnsi="Arial Narrow"/>
        </w:rPr>
        <w:t>October</w:t>
      </w:r>
      <w:r w:rsidRPr="007B03F8">
        <w:rPr>
          <w:rFonts w:ascii="Arial Narrow" w:hAnsi="Arial Narrow"/>
        </w:rPr>
        <w:t xml:space="preserve"> 2015</w:t>
      </w:r>
      <w:r>
        <w:rPr>
          <w:rFonts w:ascii="Arial Narrow" w:hAnsi="Arial Narrow"/>
        </w:rPr>
        <w:t>, which involved the right to liberty and security,</w:t>
      </w:r>
      <w:r w:rsidRPr="007B03F8">
        <w:rPr>
          <w:rFonts w:ascii="Arial Narrow" w:hAnsi="Arial Narrow"/>
        </w:rPr>
        <w:t xml:space="preserve"> </w:t>
      </w:r>
      <w:r w:rsidR="00DB6C7C">
        <w:rPr>
          <w:rFonts w:ascii="Arial Narrow" w:hAnsi="Arial Narrow"/>
        </w:rPr>
        <w:t>however problematic to my mind</w:t>
      </w:r>
      <w:r w:rsidR="00CC5E80">
        <w:rPr>
          <w:rFonts w:ascii="Arial Narrow" w:hAnsi="Arial Narrow"/>
        </w:rPr>
        <w:t>,</w:t>
      </w:r>
      <w:r w:rsidR="00DB6C7C">
        <w:rPr>
          <w:rFonts w:ascii="Arial Narrow" w:hAnsi="Arial Narrow"/>
        </w:rPr>
        <w:t xml:space="preserve"> is nevertheless</w:t>
      </w:r>
      <w:r>
        <w:rPr>
          <w:rFonts w:ascii="Arial Narrow" w:hAnsi="Arial Narrow"/>
        </w:rPr>
        <w:t xml:space="preserve"> interesting in so far as it contextualises the guarantees against the risk of arbitrariness. </w:t>
      </w:r>
      <w:r w:rsidRPr="0064769F">
        <w:rPr>
          <w:rFonts w:ascii="Arial Narrow" w:hAnsi="Arial Narrow"/>
        </w:rPr>
        <w:t>The case concerned the arrest and detentio</w:t>
      </w:r>
      <w:r>
        <w:rPr>
          <w:rFonts w:ascii="Arial Narrow" w:hAnsi="Arial Narrow"/>
        </w:rPr>
        <w:t>n of three Pakistani nationals i</w:t>
      </w:r>
      <w:r w:rsidRPr="0064769F">
        <w:rPr>
          <w:rFonts w:ascii="Arial Narrow" w:hAnsi="Arial Narrow"/>
        </w:rPr>
        <w:t>n the context of a counterterrorism operation. The applicants were detained for 13 days, before ultimately being released without charge. During that period they were brought twice before a court with warrants for</w:t>
      </w:r>
      <w:r>
        <w:rPr>
          <w:rFonts w:ascii="Arial Narrow" w:hAnsi="Arial Narrow"/>
        </w:rPr>
        <w:t> </w:t>
      </w:r>
      <w:r w:rsidRPr="0064769F">
        <w:rPr>
          <w:rFonts w:ascii="Arial Narrow" w:hAnsi="Arial Narrow"/>
        </w:rPr>
        <w:t>their further detention being granted. They were then taken into immi</w:t>
      </w:r>
      <w:r>
        <w:rPr>
          <w:rFonts w:ascii="Arial Narrow" w:hAnsi="Arial Narrow"/>
        </w:rPr>
        <w:t xml:space="preserve">gration detention and had </w:t>
      </w:r>
      <w:r w:rsidRPr="0064769F">
        <w:rPr>
          <w:rFonts w:ascii="Arial Narrow" w:hAnsi="Arial Narrow"/>
        </w:rPr>
        <w:t xml:space="preserve">since voluntarily returned to Pakistan. </w:t>
      </w:r>
      <w:r>
        <w:rPr>
          <w:rFonts w:ascii="Arial Narrow" w:hAnsi="Arial Narrow"/>
        </w:rPr>
        <w:t>T</w:t>
      </w:r>
      <w:r w:rsidRPr="0064769F">
        <w:rPr>
          <w:rFonts w:ascii="Arial Narrow" w:hAnsi="Arial Narrow"/>
        </w:rPr>
        <w:t>hey complained in particular about the hearings on requests for prolongation of their</w:t>
      </w:r>
      <w:r>
        <w:rPr>
          <w:rFonts w:ascii="Arial Narrow" w:hAnsi="Arial Narrow"/>
        </w:rPr>
        <w:t xml:space="preserve"> detention</w:t>
      </w:r>
      <w:r w:rsidRPr="0064769F">
        <w:rPr>
          <w:rFonts w:ascii="Arial Narrow" w:hAnsi="Arial Narrow"/>
        </w:rPr>
        <w:t>.</w:t>
      </w:r>
      <w:r>
        <w:rPr>
          <w:rFonts w:ascii="Arial Narrow" w:hAnsi="Arial Narrow"/>
        </w:rPr>
        <w:t xml:space="preserve"> In this case the Court found no violation of A</w:t>
      </w:r>
      <w:r w:rsidRPr="007B03F8">
        <w:rPr>
          <w:rFonts w:ascii="Arial Narrow" w:hAnsi="Arial Narrow"/>
        </w:rPr>
        <w:t xml:space="preserve">rticle 5 § 4 </w:t>
      </w:r>
      <w:r>
        <w:rPr>
          <w:rFonts w:ascii="Arial Narrow" w:hAnsi="Arial Narrow"/>
        </w:rPr>
        <w:t>of the</w:t>
      </w:r>
      <w:r w:rsidRPr="007B03F8">
        <w:rPr>
          <w:rFonts w:ascii="Arial Narrow" w:hAnsi="Arial Narrow"/>
        </w:rPr>
        <w:t xml:space="preserve"> Convention</w:t>
      </w:r>
      <w:r w:rsidRPr="007B03F8">
        <w:rPr>
          <w:rStyle w:val="FootnoteReference"/>
          <w:rFonts w:ascii="Arial Narrow" w:hAnsi="Arial Narrow"/>
        </w:rPr>
        <w:footnoteReference w:id="37"/>
      </w:r>
      <w:r w:rsidRPr="007B03F8">
        <w:rPr>
          <w:rFonts w:ascii="Arial Narrow" w:hAnsi="Arial Narrow"/>
        </w:rPr>
        <w:t xml:space="preserve">. </w:t>
      </w:r>
      <w:r w:rsidRPr="0064769F">
        <w:rPr>
          <w:rFonts w:ascii="Arial Narrow" w:hAnsi="Arial Narrow"/>
        </w:rPr>
        <w:t>Reiterating that terrorism f</w:t>
      </w:r>
      <w:r w:rsidR="00CC5E80">
        <w:rPr>
          <w:rFonts w:ascii="Arial Narrow" w:hAnsi="Arial Narrow"/>
        </w:rPr>
        <w:t>ell into a special category, it </w:t>
      </w:r>
      <w:r w:rsidRPr="0064769F">
        <w:rPr>
          <w:rFonts w:ascii="Arial Narrow" w:hAnsi="Arial Narrow"/>
        </w:rPr>
        <w:t xml:space="preserve">held that </w:t>
      </w:r>
      <w:r w:rsidR="00CC5E80">
        <w:rPr>
          <w:rFonts w:ascii="Arial Narrow" w:hAnsi="Arial Narrow"/>
        </w:rPr>
        <w:t>this provision</w:t>
      </w:r>
      <w:r w:rsidRPr="0064769F">
        <w:rPr>
          <w:rFonts w:ascii="Arial Narrow" w:hAnsi="Arial Narrow"/>
        </w:rPr>
        <w:t xml:space="preserve"> could not be used to prevent the use of a closed hearing or to place disproportionate difficulties in the way of police authorities in taking effective measures to counter terrorism. In the applicants’ case, the threat of an imminent terrorist attack and national security considerations had justified restrictions on the applicants’ right to adversarial proceedings concerning the warrants for their further detention. Moreover, there had been sufficient safeguards against the risk of arbitrariness in respect of the proceedings for warrants of further detention, in the form of a legal framework setting out clear</w:t>
      </w:r>
      <w:r>
        <w:rPr>
          <w:rFonts w:ascii="Arial Narrow" w:hAnsi="Arial Narrow"/>
        </w:rPr>
        <w:t xml:space="preserve"> and detailed procedural rules.</w:t>
      </w:r>
    </w:p>
    <w:p w14:paraId="226D149F" w14:textId="77777777" w:rsidR="00895297" w:rsidRPr="0064769F" w:rsidRDefault="00895297" w:rsidP="00895297">
      <w:pPr>
        <w:tabs>
          <w:tab w:val="left" w:pos="567"/>
        </w:tabs>
        <w:spacing w:line="480" w:lineRule="auto"/>
        <w:jc w:val="both"/>
        <w:rPr>
          <w:rFonts w:ascii="Arial Narrow" w:hAnsi="Arial Narrow"/>
        </w:rPr>
      </w:pPr>
    </w:p>
    <w:p w14:paraId="4DBCD367" w14:textId="77777777" w:rsidR="00895297" w:rsidRPr="007B03F8" w:rsidRDefault="00895297" w:rsidP="00895297">
      <w:pPr>
        <w:keepNext/>
        <w:keepLines/>
        <w:tabs>
          <w:tab w:val="left" w:pos="567"/>
          <w:tab w:val="left" w:pos="851"/>
        </w:tabs>
        <w:spacing w:line="480" w:lineRule="auto"/>
        <w:jc w:val="both"/>
        <w:rPr>
          <w:rFonts w:ascii="Arial Narrow" w:hAnsi="Arial Narrow"/>
          <w:b/>
        </w:rPr>
      </w:pPr>
      <w:r w:rsidRPr="007B03F8">
        <w:rPr>
          <w:rFonts w:ascii="Arial Narrow" w:hAnsi="Arial Narrow"/>
          <w:b/>
        </w:rPr>
        <w:tab/>
        <w:t>4.</w:t>
      </w:r>
      <w:r w:rsidRPr="007B03F8">
        <w:rPr>
          <w:rFonts w:ascii="Arial Narrow" w:hAnsi="Arial Narrow"/>
          <w:b/>
        </w:rPr>
        <w:tab/>
      </w:r>
      <w:r>
        <w:rPr>
          <w:rFonts w:ascii="Arial Narrow" w:hAnsi="Arial Narrow"/>
          <w:b/>
        </w:rPr>
        <w:t xml:space="preserve">Reconciling the </w:t>
      </w:r>
      <w:r w:rsidRPr="007B03F8">
        <w:rPr>
          <w:rFonts w:ascii="Arial Narrow" w:hAnsi="Arial Narrow"/>
          <w:b/>
        </w:rPr>
        <w:t>obligations</w:t>
      </w:r>
    </w:p>
    <w:p w14:paraId="600706BC" w14:textId="77777777" w:rsidR="00895297" w:rsidRPr="007B03F8" w:rsidRDefault="00895297" w:rsidP="00895297">
      <w:pPr>
        <w:tabs>
          <w:tab w:val="left" w:pos="567"/>
        </w:tabs>
        <w:spacing w:line="480" w:lineRule="auto"/>
        <w:jc w:val="both"/>
        <w:rPr>
          <w:rFonts w:ascii="Arial Narrow" w:hAnsi="Arial Narrow"/>
        </w:rPr>
      </w:pPr>
    </w:p>
    <w:p w14:paraId="089A3EDB" w14:textId="5EDC73B8" w:rsidR="00895297" w:rsidRDefault="00895297" w:rsidP="00895297">
      <w:pPr>
        <w:tabs>
          <w:tab w:val="left" w:pos="567"/>
        </w:tabs>
        <w:spacing w:line="480" w:lineRule="auto"/>
        <w:jc w:val="both"/>
        <w:rPr>
          <w:rFonts w:ascii="Arial Narrow" w:hAnsi="Arial Narrow"/>
        </w:rPr>
      </w:pPr>
      <w:r w:rsidRPr="007B03F8">
        <w:rPr>
          <w:rFonts w:ascii="Arial Narrow" w:hAnsi="Arial Narrow"/>
        </w:rPr>
        <w:tab/>
      </w:r>
      <w:r w:rsidR="008D4FE1">
        <w:rPr>
          <w:rFonts w:ascii="Arial Narrow" w:hAnsi="Arial Narrow"/>
        </w:rPr>
        <w:t>30</w:t>
      </w:r>
      <w:r w:rsidRPr="007B03F8">
        <w:rPr>
          <w:rFonts w:ascii="Arial Narrow" w:hAnsi="Arial Narrow"/>
        </w:rPr>
        <w:t>.  </w:t>
      </w:r>
      <w:r>
        <w:rPr>
          <w:rFonts w:ascii="Arial Narrow" w:hAnsi="Arial Narrow"/>
        </w:rPr>
        <w:t>For long, but especially since the years 2000</w:t>
      </w:r>
      <w:r w:rsidRPr="007B03F8">
        <w:rPr>
          <w:rFonts w:ascii="Arial Narrow" w:hAnsi="Arial Narrow"/>
        </w:rPr>
        <w:t xml:space="preserve">, </w:t>
      </w:r>
      <w:r>
        <w:rPr>
          <w:rFonts w:ascii="Arial Narrow" w:hAnsi="Arial Narrow"/>
        </w:rPr>
        <w:t>the European Court of Human Rights has been repeatedly called upon to decide cases involving counter-terrorism measures adopted by States</w:t>
      </w:r>
      <w:r w:rsidRPr="007B03F8">
        <w:rPr>
          <w:rStyle w:val="FootnoteReference"/>
          <w:rFonts w:ascii="Arial Narrow" w:hAnsi="Arial Narrow"/>
        </w:rPr>
        <w:footnoteReference w:id="38"/>
      </w:r>
      <w:r w:rsidRPr="007B03F8">
        <w:rPr>
          <w:rFonts w:ascii="Arial Narrow" w:hAnsi="Arial Narrow"/>
        </w:rPr>
        <w:t xml:space="preserve">. </w:t>
      </w:r>
      <w:r>
        <w:rPr>
          <w:rFonts w:ascii="Arial Narrow" w:hAnsi="Arial Narrow"/>
        </w:rPr>
        <w:t>The</w:t>
      </w:r>
      <w:r w:rsidRPr="007B03F8">
        <w:rPr>
          <w:rFonts w:ascii="Arial Narrow" w:hAnsi="Arial Narrow"/>
        </w:rPr>
        <w:t> </w:t>
      </w:r>
      <w:r>
        <w:rPr>
          <w:rFonts w:ascii="Arial Narrow" w:hAnsi="Arial Narrow"/>
        </w:rPr>
        <w:t>Court considers that the obligation of States to combat terrorism may, in certain circumstances and under certain conditions, justify restrictions</w:t>
      </w:r>
      <w:r w:rsidRPr="007B03F8">
        <w:rPr>
          <w:rFonts w:ascii="Arial Narrow" w:hAnsi="Arial Narrow"/>
        </w:rPr>
        <w:t xml:space="preserve"> </w:t>
      </w:r>
      <w:r>
        <w:rPr>
          <w:rFonts w:ascii="Arial Narrow" w:hAnsi="Arial Narrow"/>
        </w:rPr>
        <w:t>on rights recognised in the Convention</w:t>
      </w:r>
      <w:r w:rsidRPr="007B03F8">
        <w:rPr>
          <w:rFonts w:ascii="Arial Narrow" w:hAnsi="Arial Narrow"/>
        </w:rPr>
        <w:t>.</w:t>
      </w:r>
      <w:r>
        <w:rPr>
          <w:rFonts w:ascii="Arial Narrow" w:hAnsi="Arial Narrow"/>
        </w:rPr>
        <w:t xml:space="preserve"> But in accordance with the principles of necessity and proportionality, that is to say that such limitations </w:t>
      </w:r>
      <w:r w:rsidRPr="00056B3C">
        <w:rPr>
          <w:rFonts w:ascii="Arial Narrow" w:hAnsi="Arial Narrow"/>
        </w:rPr>
        <w:t>must not go beyond what is strictly necessary in order to</w:t>
      </w:r>
      <w:r>
        <w:rPr>
          <w:rFonts w:ascii="Arial Narrow" w:hAnsi="Arial Narrow"/>
        </w:rPr>
        <w:t xml:space="preserve"> fulfil the obligation of protection and that the impossibility to resort to other, less har</w:t>
      </w:r>
      <w:r w:rsidR="00DB6C7C">
        <w:rPr>
          <w:rFonts w:ascii="Arial Narrow" w:hAnsi="Arial Narrow"/>
        </w:rPr>
        <w:t>mful to the rights and freedoms</w:t>
      </w:r>
      <w:r>
        <w:rPr>
          <w:rFonts w:ascii="Arial Narrow" w:hAnsi="Arial Narrow"/>
        </w:rPr>
        <w:t xml:space="preserve"> and equally effective means, is established. However, the State’s positive obligation may not call into question the absolute nature of non-derogable right and, notably, the prohibition of torture and inhuman or degrading treatment</w:t>
      </w:r>
      <w:r w:rsidRPr="007B03F8">
        <w:rPr>
          <w:rFonts w:ascii="Arial Narrow" w:hAnsi="Arial Narrow"/>
        </w:rPr>
        <w:t xml:space="preserve">. </w:t>
      </w:r>
    </w:p>
    <w:p w14:paraId="206A01E5" w14:textId="77777777" w:rsidR="00895297" w:rsidRDefault="00895297" w:rsidP="00895297">
      <w:pPr>
        <w:tabs>
          <w:tab w:val="left" w:pos="567"/>
        </w:tabs>
        <w:spacing w:line="480" w:lineRule="auto"/>
        <w:jc w:val="both"/>
        <w:rPr>
          <w:rFonts w:ascii="Arial Narrow" w:hAnsi="Arial Narrow"/>
        </w:rPr>
      </w:pPr>
    </w:p>
    <w:p w14:paraId="1DD779B9" w14:textId="2E46772F" w:rsidR="00895297" w:rsidRPr="007B03F8" w:rsidRDefault="00895297" w:rsidP="00895297">
      <w:pPr>
        <w:tabs>
          <w:tab w:val="left" w:pos="567"/>
        </w:tabs>
        <w:spacing w:line="480" w:lineRule="auto"/>
        <w:jc w:val="both"/>
        <w:rPr>
          <w:rFonts w:ascii="Arial Narrow" w:hAnsi="Arial Narrow"/>
        </w:rPr>
      </w:pPr>
      <w:r>
        <w:rPr>
          <w:rFonts w:ascii="Arial Narrow" w:hAnsi="Arial Narrow"/>
        </w:rPr>
        <w:tab/>
      </w:r>
      <w:r w:rsidR="008D4FE1">
        <w:rPr>
          <w:rFonts w:ascii="Arial Narrow" w:hAnsi="Arial Narrow"/>
        </w:rPr>
        <w:t>31</w:t>
      </w:r>
      <w:r>
        <w:rPr>
          <w:rFonts w:ascii="Arial Narrow" w:hAnsi="Arial Narrow"/>
        </w:rPr>
        <w:t xml:space="preserve">.  Let us examine that more closely because here a careful analysis of the </w:t>
      </w:r>
      <w:r w:rsidRPr="007B03F8">
        <w:rPr>
          <w:rFonts w:ascii="Arial Narrow" w:hAnsi="Arial Narrow"/>
        </w:rPr>
        <w:t xml:space="preserve">jurisprudence </w:t>
      </w:r>
      <w:r>
        <w:rPr>
          <w:rFonts w:ascii="Arial Narrow" w:hAnsi="Arial Narrow"/>
        </w:rPr>
        <w:t>of the European</w:t>
      </w:r>
      <w:r w:rsidRPr="007B03F8">
        <w:rPr>
          <w:rFonts w:ascii="Arial Narrow" w:hAnsi="Arial Narrow"/>
        </w:rPr>
        <w:t xml:space="preserve"> Cour</w:t>
      </w:r>
      <w:r>
        <w:rPr>
          <w:rFonts w:ascii="Arial Narrow" w:hAnsi="Arial Narrow"/>
        </w:rPr>
        <w:t>t of Human Rights, which goes beyond prejudices and slogans, is required.</w:t>
      </w:r>
    </w:p>
    <w:p w14:paraId="6E656547" w14:textId="77777777" w:rsidR="00895297" w:rsidRPr="007B03F8" w:rsidRDefault="00895297" w:rsidP="00895297">
      <w:pPr>
        <w:tabs>
          <w:tab w:val="left" w:pos="567"/>
        </w:tabs>
        <w:spacing w:line="480" w:lineRule="auto"/>
        <w:jc w:val="both"/>
        <w:rPr>
          <w:rFonts w:ascii="Arial Narrow" w:hAnsi="Arial Narrow"/>
        </w:rPr>
      </w:pPr>
    </w:p>
    <w:p w14:paraId="42EB420A" w14:textId="77777777" w:rsidR="00895297" w:rsidRPr="007B03F8" w:rsidRDefault="00895297" w:rsidP="00895297">
      <w:pPr>
        <w:tabs>
          <w:tab w:val="left" w:pos="851"/>
        </w:tabs>
        <w:spacing w:line="480" w:lineRule="auto"/>
        <w:jc w:val="both"/>
        <w:rPr>
          <w:rFonts w:ascii="Arial Narrow" w:hAnsi="Arial Narrow"/>
          <w:b/>
          <w:i/>
        </w:rPr>
      </w:pPr>
      <w:r w:rsidRPr="007B03F8">
        <w:rPr>
          <w:rFonts w:ascii="Arial Narrow" w:hAnsi="Arial Narrow"/>
          <w:b/>
          <w:i/>
        </w:rPr>
        <w:tab/>
      </w:r>
      <w:r>
        <w:rPr>
          <w:rFonts w:ascii="Arial Narrow" w:hAnsi="Arial Narrow"/>
          <w:b/>
          <w:i/>
        </w:rPr>
        <w:t>Absolute rights</w:t>
      </w:r>
    </w:p>
    <w:p w14:paraId="56514D07" w14:textId="77777777" w:rsidR="00895297" w:rsidRPr="007B03F8" w:rsidRDefault="00895297" w:rsidP="00895297">
      <w:pPr>
        <w:tabs>
          <w:tab w:val="left" w:pos="851"/>
        </w:tabs>
        <w:spacing w:line="480" w:lineRule="auto"/>
        <w:jc w:val="both"/>
        <w:rPr>
          <w:rFonts w:ascii="Arial Narrow" w:hAnsi="Arial Narrow"/>
        </w:rPr>
      </w:pPr>
    </w:p>
    <w:p w14:paraId="0804E5C1" w14:textId="76F36760" w:rsidR="00895297" w:rsidRDefault="00895297" w:rsidP="00895297">
      <w:pPr>
        <w:tabs>
          <w:tab w:val="left" w:pos="567"/>
        </w:tabs>
        <w:spacing w:line="480" w:lineRule="auto"/>
        <w:jc w:val="both"/>
        <w:rPr>
          <w:rFonts w:ascii="Arial Narrow" w:hAnsi="Arial Narrow"/>
        </w:rPr>
      </w:pPr>
      <w:r w:rsidRPr="007B03F8">
        <w:rPr>
          <w:rFonts w:ascii="Arial Narrow" w:hAnsi="Arial Narrow"/>
        </w:rPr>
        <w:tab/>
      </w:r>
      <w:r w:rsidR="008D4FE1">
        <w:rPr>
          <w:rFonts w:ascii="Arial Narrow" w:hAnsi="Arial Narrow"/>
        </w:rPr>
        <w:t>32</w:t>
      </w:r>
      <w:r w:rsidRPr="007B03F8">
        <w:rPr>
          <w:rFonts w:ascii="Arial Narrow" w:hAnsi="Arial Narrow"/>
        </w:rPr>
        <w:t>.  </w:t>
      </w:r>
      <w:r>
        <w:rPr>
          <w:rFonts w:ascii="Arial Narrow" w:hAnsi="Arial Narrow"/>
        </w:rPr>
        <w:t>As we all know</w:t>
      </w:r>
      <w:r w:rsidRPr="007B03F8">
        <w:rPr>
          <w:rFonts w:ascii="Arial Narrow" w:hAnsi="Arial Narrow"/>
        </w:rPr>
        <w:t xml:space="preserve">, </w:t>
      </w:r>
      <w:r>
        <w:rPr>
          <w:rFonts w:ascii="Arial Narrow" w:hAnsi="Arial Narrow"/>
        </w:rPr>
        <w:t>the European</w:t>
      </w:r>
      <w:r w:rsidRPr="007B03F8">
        <w:rPr>
          <w:rFonts w:ascii="Arial Narrow" w:hAnsi="Arial Narrow"/>
        </w:rPr>
        <w:t xml:space="preserve"> Convention </w:t>
      </w:r>
      <w:r>
        <w:rPr>
          <w:rFonts w:ascii="Arial Narrow" w:hAnsi="Arial Narrow"/>
        </w:rPr>
        <w:t>on Human Rights contains certain rights which are absolute, non-derogable, and which are not subject to exceptions, even in time of war or other public emergency threatening the life of the nation</w:t>
      </w:r>
      <w:r w:rsidRPr="007B03F8">
        <w:rPr>
          <w:rFonts w:ascii="Arial Narrow" w:hAnsi="Arial Narrow"/>
        </w:rPr>
        <w:t xml:space="preserve">. </w:t>
      </w:r>
      <w:r>
        <w:rPr>
          <w:rFonts w:ascii="Arial Narrow" w:hAnsi="Arial Narrow"/>
        </w:rPr>
        <w:t>As far as the prohibition of torture and inhuman or degrading treatment is concerned, despite pressure from the States Parties</w:t>
      </w:r>
      <w:r w:rsidRPr="007B03F8">
        <w:rPr>
          <w:rFonts w:ascii="Arial Narrow" w:hAnsi="Arial Narrow"/>
        </w:rPr>
        <w:t>,</w:t>
      </w:r>
      <w:r>
        <w:rPr>
          <w:rFonts w:ascii="Arial Narrow" w:hAnsi="Arial Narrow"/>
        </w:rPr>
        <w:t xml:space="preserve"> the Court has always stood firm: “</w:t>
      </w:r>
      <w:r w:rsidRPr="005679EB">
        <w:rPr>
          <w:rFonts w:ascii="Arial Narrow" w:hAnsi="Arial Narrow"/>
        </w:rPr>
        <w:t>Even in the most difficult circumstances, such as the fight against terrorism and organised crime, the Convention prohibits in absolute terms torture and inhuman or deg</w:t>
      </w:r>
      <w:r>
        <w:rPr>
          <w:rFonts w:ascii="Arial Narrow" w:hAnsi="Arial Narrow"/>
        </w:rPr>
        <w:t>rading treatment or punishment”</w:t>
      </w:r>
      <w:r w:rsidRPr="007B03F8">
        <w:rPr>
          <w:rStyle w:val="FootnoteReference"/>
          <w:rFonts w:ascii="Arial Narrow" w:hAnsi="Arial Narrow"/>
        </w:rPr>
        <w:footnoteReference w:id="39"/>
      </w:r>
      <w:r w:rsidRPr="007B03F8">
        <w:rPr>
          <w:rFonts w:ascii="Arial Narrow" w:hAnsi="Arial Narrow"/>
        </w:rPr>
        <w:t xml:space="preserve">. </w:t>
      </w:r>
      <w:r>
        <w:rPr>
          <w:rFonts w:ascii="Arial Narrow" w:hAnsi="Arial Narrow"/>
        </w:rPr>
        <w:t>Why</w:t>
      </w:r>
      <w:r w:rsidRPr="007B03F8">
        <w:rPr>
          <w:rFonts w:ascii="Arial Narrow" w:hAnsi="Arial Narrow"/>
        </w:rPr>
        <w:t xml:space="preserve">? </w:t>
      </w:r>
      <w:r>
        <w:rPr>
          <w:rFonts w:ascii="Arial Narrow" w:hAnsi="Arial Narrow"/>
        </w:rPr>
        <w:t xml:space="preserve">It is quite simply the </w:t>
      </w:r>
      <w:r w:rsidRPr="00BE474E">
        <w:rPr>
          <w:rFonts w:ascii="Arial Narrow" w:hAnsi="Arial Narrow"/>
        </w:rPr>
        <w:t>universal value of human dignity</w:t>
      </w:r>
      <w:r>
        <w:rPr>
          <w:rFonts w:ascii="Arial Narrow" w:hAnsi="Arial Narrow"/>
        </w:rPr>
        <w:t xml:space="preserve">, which everyone is to enjoy respect for and which distinguishes us precisely from terrorist barbarity. Abandoning it or renouncing to it is simply </w:t>
      </w:r>
      <w:r w:rsidRPr="006F1626">
        <w:rPr>
          <w:rFonts w:ascii="Arial Narrow" w:hAnsi="Arial Narrow"/>
        </w:rPr>
        <w:t>a step backwards for civilisation</w:t>
      </w:r>
      <w:r w:rsidR="00DB6C7C">
        <w:rPr>
          <w:rFonts w:ascii="Arial Narrow" w:hAnsi="Arial Narrow"/>
        </w:rPr>
        <w:t xml:space="preserve"> (</w:t>
      </w:r>
      <w:r w:rsidR="00DB6C7C" w:rsidRPr="00DB6C7C">
        <w:rPr>
          <w:rFonts w:ascii="Arial Narrow" w:hAnsi="Arial Narrow"/>
          <w:i/>
        </w:rPr>
        <w:t>recul de civilisation</w:t>
      </w:r>
      <w:r w:rsidR="00DB6C7C">
        <w:rPr>
          <w:rFonts w:ascii="Arial Narrow" w:hAnsi="Arial Narrow"/>
        </w:rPr>
        <w:t>)</w:t>
      </w:r>
      <w:r>
        <w:rPr>
          <w:rFonts w:ascii="Arial Narrow" w:hAnsi="Arial Narrow"/>
        </w:rPr>
        <w:t>.</w:t>
      </w:r>
    </w:p>
    <w:p w14:paraId="3EEED948" w14:textId="77777777" w:rsidR="00895297" w:rsidRPr="007B03F8" w:rsidRDefault="00895297" w:rsidP="00895297">
      <w:pPr>
        <w:tabs>
          <w:tab w:val="left" w:pos="567"/>
        </w:tabs>
        <w:spacing w:line="480" w:lineRule="auto"/>
        <w:jc w:val="both"/>
        <w:rPr>
          <w:rFonts w:ascii="Arial Narrow" w:hAnsi="Arial Narrow"/>
        </w:rPr>
      </w:pPr>
    </w:p>
    <w:p w14:paraId="6C127386" w14:textId="65712DD1" w:rsidR="00895297" w:rsidRDefault="00895297" w:rsidP="00895297">
      <w:pPr>
        <w:tabs>
          <w:tab w:val="left" w:pos="567"/>
        </w:tabs>
        <w:spacing w:line="480" w:lineRule="auto"/>
        <w:jc w:val="both"/>
        <w:rPr>
          <w:rFonts w:ascii="Arial Narrow" w:hAnsi="Arial Narrow"/>
        </w:rPr>
      </w:pPr>
      <w:r w:rsidRPr="007B03F8">
        <w:rPr>
          <w:rFonts w:ascii="Arial Narrow" w:hAnsi="Arial Narrow"/>
        </w:rPr>
        <w:tab/>
      </w:r>
      <w:r w:rsidR="008D4FE1">
        <w:rPr>
          <w:rFonts w:ascii="Arial Narrow" w:hAnsi="Arial Narrow"/>
        </w:rPr>
        <w:t>33</w:t>
      </w:r>
      <w:r w:rsidRPr="007B03F8">
        <w:rPr>
          <w:rFonts w:ascii="Arial Narrow" w:hAnsi="Arial Narrow"/>
        </w:rPr>
        <w:t>.  </w:t>
      </w:r>
      <w:r>
        <w:rPr>
          <w:rFonts w:ascii="Arial Narrow" w:hAnsi="Arial Narrow"/>
        </w:rPr>
        <w:t xml:space="preserve">In the </w:t>
      </w:r>
      <w:r w:rsidRPr="007B03F8">
        <w:rPr>
          <w:rFonts w:ascii="Arial Narrow" w:hAnsi="Arial Narrow"/>
          <w:i/>
        </w:rPr>
        <w:t xml:space="preserve">Saadi </w:t>
      </w:r>
      <w:r>
        <w:rPr>
          <w:rFonts w:ascii="Arial Narrow" w:hAnsi="Arial Narrow"/>
          <w:i/>
        </w:rPr>
        <w:t>v</w:t>
      </w:r>
      <w:r w:rsidRPr="007B03F8">
        <w:rPr>
          <w:rFonts w:ascii="Arial Narrow" w:hAnsi="Arial Narrow"/>
          <w:i/>
        </w:rPr>
        <w:t>. Ital</w:t>
      </w:r>
      <w:r>
        <w:rPr>
          <w:rFonts w:ascii="Arial Narrow" w:hAnsi="Arial Narrow"/>
          <w:i/>
        </w:rPr>
        <w:t>y</w:t>
      </w:r>
      <w:r w:rsidRPr="007B03F8">
        <w:rPr>
          <w:rFonts w:ascii="Arial Narrow" w:hAnsi="Arial Narrow"/>
        </w:rPr>
        <w:t xml:space="preserve"> </w:t>
      </w:r>
      <w:r>
        <w:rPr>
          <w:rFonts w:ascii="Arial Narrow" w:hAnsi="Arial Narrow"/>
        </w:rPr>
        <w:t>Grand Chamber judgment of</w:t>
      </w:r>
      <w:r w:rsidRPr="007B03F8">
        <w:rPr>
          <w:rFonts w:ascii="Arial Narrow" w:hAnsi="Arial Narrow"/>
        </w:rPr>
        <w:t xml:space="preserve"> 28 </w:t>
      </w:r>
      <w:r>
        <w:rPr>
          <w:rFonts w:ascii="Arial Narrow" w:hAnsi="Arial Narrow"/>
        </w:rPr>
        <w:t>February</w:t>
      </w:r>
      <w:r w:rsidRPr="007B03F8">
        <w:rPr>
          <w:rFonts w:ascii="Arial Narrow" w:hAnsi="Arial Narrow"/>
        </w:rPr>
        <w:t xml:space="preserve"> 2008,</w:t>
      </w:r>
      <w:r>
        <w:rPr>
          <w:rFonts w:ascii="Arial Narrow" w:hAnsi="Arial Narrow"/>
        </w:rPr>
        <w:t xml:space="preserve"> the Court ruled against the </w:t>
      </w:r>
      <w:r w:rsidRPr="007B03F8">
        <w:rPr>
          <w:rFonts w:ascii="Arial Narrow" w:hAnsi="Arial Narrow"/>
        </w:rPr>
        <w:t xml:space="preserve">expulsion </w:t>
      </w:r>
      <w:r>
        <w:rPr>
          <w:rFonts w:ascii="Arial Narrow" w:hAnsi="Arial Narrow"/>
        </w:rPr>
        <w:t xml:space="preserve">of a terrorist suspect to </w:t>
      </w:r>
      <w:r w:rsidRPr="007B03F8">
        <w:rPr>
          <w:rFonts w:ascii="Arial Narrow" w:hAnsi="Arial Narrow"/>
        </w:rPr>
        <w:t>Tunisi</w:t>
      </w:r>
      <w:r>
        <w:rPr>
          <w:rFonts w:ascii="Arial Narrow" w:hAnsi="Arial Narrow"/>
        </w:rPr>
        <w:t xml:space="preserve">a, where the applicant </w:t>
      </w:r>
      <w:r w:rsidRPr="005B5E76">
        <w:rPr>
          <w:rFonts w:ascii="Arial Narrow" w:hAnsi="Arial Narrow"/>
        </w:rPr>
        <w:t>was likely to be subjected to torture</w:t>
      </w:r>
      <w:r w:rsidRPr="007B03F8">
        <w:rPr>
          <w:rFonts w:ascii="Arial Narrow" w:hAnsi="Arial Narrow"/>
        </w:rPr>
        <w:t xml:space="preserve"> </w:t>
      </w:r>
      <w:r>
        <w:rPr>
          <w:rFonts w:ascii="Arial Narrow" w:hAnsi="Arial Narrow"/>
        </w:rPr>
        <w:t>or inhuman or degrading treatment</w:t>
      </w:r>
      <w:r w:rsidRPr="007B03F8">
        <w:rPr>
          <w:rStyle w:val="FootnoteReference"/>
          <w:rFonts w:ascii="Arial Narrow" w:hAnsi="Arial Narrow"/>
        </w:rPr>
        <w:footnoteReference w:id="40"/>
      </w:r>
      <w:r w:rsidRPr="007B03F8">
        <w:rPr>
          <w:rFonts w:ascii="Arial Narrow" w:hAnsi="Arial Narrow"/>
        </w:rPr>
        <w:t>.</w:t>
      </w:r>
      <w:r>
        <w:rPr>
          <w:rFonts w:ascii="Arial Narrow" w:hAnsi="Arial Narrow"/>
        </w:rPr>
        <w:t xml:space="preserve"> The Court thereby confirmed the absolute nature of Article 3 of the Convention which entails, incidentally,</w:t>
      </w:r>
      <w:r w:rsidRPr="007B03F8">
        <w:rPr>
          <w:rFonts w:ascii="Arial Narrow" w:hAnsi="Arial Narrow"/>
        </w:rPr>
        <w:t xml:space="preserve"> </w:t>
      </w:r>
      <w:r>
        <w:rPr>
          <w:rFonts w:ascii="Arial Narrow" w:hAnsi="Arial Narrow"/>
        </w:rPr>
        <w:t>a wider guarantee than the one laid down in A</w:t>
      </w:r>
      <w:r w:rsidRPr="007B03F8">
        <w:rPr>
          <w:rFonts w:ascii="Arial Narrow" w:hAnsi="Arial Narrow"/>
        </w:rPr>
        <w:t xml:space="preserve">rticles 32 </w:t>
      </w:r>
      <w:r>
        <w:rPr>
          <w:rFonts w:ascii="Arial Narrow" w:hAnsi="Arial Narrow"/>
        </w:rPr>
        <w:t>and</w:t>
      </w:r>
      <w:r w:rsidRPr="007B03F8">
        <w:rPr>
          <w:rFonts w:ascii="Arial Narrow" w:hAnsi="Arial Narrow"/>
        </w:rPr>
        <w:t xml:space="preserve"> 33 </w:t>
      </w:r>
      <w:r>
        <w:rPr>
          <w:rFonts w:ascii="Arial Narrow" w:hAnsi="Arial Narrow"/>
        </w:rPr>
        <w:t>of the 1951 United Nations Convention</w:t>
      </w:r>
      <w:r w:rsidRPr="007B03F8">
        <w:rPr>
          <w:rFonts w:ascii="Arial Narrow" w:hAnsi="Arial Narrow"/>
        </w:rPr>
        <w:t xml:space="preserve"> </w:t>
      </w:r>
      <w:r w:rsidRPr="00AB4B0E">
        <w:rPr>
          <w:rFonts w:ascii="Arial Narrow" w:hAnsi="Arial Narrow"/>
        </w:rPr>
        <w:t>on the Status of Refugees</w:t>
      </w:r>
      <w:r w:rsidRPr="007B03F8">
        <w:rPr>
          <w:rFonts w:ascii="Arial Narrow" w:hAnsi="Arial Narrow"/>
        </w:rPr>
        <w:t xml:space="preserve">. </w:t>
      </w:r>
      <w:r>
        <w:rPr>
          <w:rFonts w:ascii="Arial Narrow" w:hAnsi="Arial Narrow"/>
        </w:rPr>
        <w:t>The Court noted in particular that “S</w:t>
      </w:r>
      <w:r w:rsidRPr="00DA4EE2">
        <w:rPr>
          <w:rFonts w:ascii="Arial Narrow" w:hAnsi="Arial Narrow"/>
        </w:rPr>
        <w:t>tates face immense difficulties in modern times in protecting their commu</w:t>
      </w:r>
      <w:r>
        <w:rPr>
          <w:rFonts w:ascii="Arial Narrow" w:hAnsi="Arial Narrow"/>
        </w:rPr>
        <w:t>nities from terrorist violence ..</w:t>
      </w:r>
      <w:r w:rsidRPr="00DA4EE2">
        <w:rPr>
          <w:rFonts w:ascii="Arial Narrow" w:hAnsi="Arial Narrow"/>
        </w:rPr>
        <w:t>. It cannot therefore underestimate the scale of the danger of terrorism today and the threat it presents to the community. That must not, however, call into question t</w:t>
      </w:r>
      <w:r>
        <w:rPr>
          <w:rFonts w:ascii="Arial Narrow" w:hAnsi="Arial Narrow"/>
        </w:rPr>
        <w:t>he absolute nature of Article 3 …”</w:t>
      </w:r>
      <w:r w:rsidRPr="007B03F8">
        <w:rPr>
          <w:rStyle w:val="FootnoteReference"/>
          <w:rFonts w:ascii="Arial Narrow" w:hAnsi="Arial Narrow"/>
        </w:rPr>
        <w:footnoteReference w:id="41"/>
      </w:r>
      <w:r w:rsidRPr="007B03F8">
        <w:rPr>
          <w:rFonts w:ascii="Arial Narrow" w:hAnsi="Arial Narrow"/>
        </w:rPr>
        <w:t xml:space="preserve">. </w:t>
      </w:r>
    </w:p>
    <w:p w14:paraId="1AE6C9C0" w14:textId="77777777" w:rsidR="00895297" w:rsidRDefault="00895297" w:rsidP="00895297">
      <w:pPr>
        <w:tabs>
          <w:tab w:val="left" w:pos="567"/>
        </w:tabs>
        <w:spacing w:line="480" w:lineRule="auto"/>
        <w:jc w:val="both"/>
        <w:rPr>
          <w:rFonts w:ascii="Arial Narrow" w:hAnsi="Arial Narrow"/>
        </w:rPr>
      </w:pPr>
    </w:p>
    <w:p w14:paraId="22D69E26" w14:textId="51ACCDDB" w:rsidR="00895297" w:rsidRPr="007B03F8" w:rsidRDefault="00895297" w:rsidP="00895297">
      <w:pPr>
        <w:tabs>
          <w:tab w:val="left" w:pos="567"/>
        </w:tabs>
        <w:spacing w:line="480" w:lineRule="auto"/>
        <w:jc w:val="both"/>
        <w:rPr>
          <w:rFonts w:ascii="Arial Narrow" w:hAnsi="Arial Narrow"/>
        </w:rPr>
      </w:pPr>
      <w:r>
        <w:rPr>
          <w:rFonts w:ascii="Arial Narrow" w:hAnsi="Arial Narrow"/>
        </w:rPr>
        <w:tab/>
        <w:t>3</w:t>
      </w:r>
      <w:r w:rsidR="008D4FE1">
        <w:rPr>
          <w:rFonts w:ascii="Arial Narrow" w:hAnsi="Arial Narrow"/>
        </w:rPr>
        <w:t>4</w:t>
      </w:r>
      <w:r>
        <w:rPr>
          <w:rFonts w:ascii="Arial Narrow" w:hAnsi="Arial Narrow"/>
        </w:rPr>
        <w:t xml:space="preserve">.  This principled </w:t>
      </w:r>
      <w:r w:rsidRPr="007B03F8">
        <w:rPr>
          <w:rFonts w:ascii="Arial Narrow" w:hAnsi="Arial Narrow"/>
        </w:rPr>
        <w:t xml:space="preserve">position </w:t>
      </w:r>
      <w:r>
        <w:rPr>
          <w:rFonts w:ascii="Arial Narrow" w:hAnsi="Arial Narrow"/>
        </w:rPr>
        <w:t>was reiterated in the</w:t>
      </w:r>
      <w:r w:rsidRPr="007B03F8">
        <w:rPr>
          <w:rFonts w:ascii="Arial Narrow" w:hAnsi="Arial Narrow"/>
        </w:rPr>
        <w:t xml:space="preserve"> </w:t>
      </w:r>
      <w:r w:rsidRPr="007B03F8">
        <w:rPr>
          <w:rFonts w:ascii="Arial Narrow" w:hAnsi="Arial Narrow"/>
          <w:i/>
        </w:rPr>
        <w:t>A. and Others v. the United Kingdom</w:t>
      </w:r>
      <w:r w:rsidRPr="007B03F8">
        <w:rPr>
          <w:rFonts w:ascii="Arial Narrow" w:hAnsi="Arial Narrow"/>
        </w:rPr>
        <w:t xml:space="preserve"> </w:t>
      </w:r>
      <w:r>
        <w:rPr>
          <w:rFonts w:ascii="Arial Narrow" w:hAnsi="Arial Narrow"/>
        </w:rPr>
        <w:t xml:space="preserve">Grand Chamber judgment </w:t>
      </w:r>
      <w:r w:rsidRPr="007B03F8">
        <w:rPr>
          <w:rFonts w:ascii="Arial Narrow" w:hAnsi="Arial Narrow"/>
        </w:rPr>
        <w:t>of 19 February 2009: “The Court is acutely consciou</w:t>
      </w:r>
      <w:r>
        <w:rPr>
          <w:rFonts w:ascii="Arial Narrow" w:hAnsi="Arial Narrow"/>
        </w:rPr>
        <w:t>s of the difficulties faced by S</w:t>
      </w:r>
      <w:r w:rsidRPr="007B03F8">
        <w:rPr>
          <w:rFonts w:ascii="Arial Narrow" w:hAnsi="Arial Narrow"/>
        </w:rPr>
        <w:t>tates in protecting their populations from terrorist violence. This makes it all the more important to stress that Article 3 enshrines one of the most fundamental values of democratic societies. Unlike most of the substantive clauses of the Convention and of Protocols Nos. 1 and 4, Article 3 makes no provision for exceptions and no derogation from it is permissible under Article 15 § 2 notwithstanding the existence of a public emergency threatening the life of the nation. Even in the most difficult of circumstances, such as the fight against terrorism, and irrespective of the conduct of the person concerned, the Convention prohibits in absolute terms torture and inhuman or degr</w:t>
      </w:r>
      <w:r>
        <w:rPr>
          <w:rFonts w:ascii="Arial Narrow" w:hAnsi="Arial Narrow"/>
        </w:rPr>
        <w:t>ading treatment and punishment …</w:t>
      </w:r>
      <w:r w:rsidRPr="007B03F8">
        <w:rPr>
          <w:rFonts w:ascii="Arial Narrow" w:hAnsi="Arial Narrow"/>
        </w:rPr>
        <w:t>”</w:t>
      </w:r>
      <w:r w:rsidRPr="007B03F8">
        <w:rPr>
          <w:rStyle w:val="FootnoteReference"/>
          <w:rFonts w:ascii="Arial Narrow" w:hAnsi="Arial Narrow"/>
        </w:rPr>
        <w:footnoteReference w:id="42"/>
      </w:r>
      <w:r w:rsidRPr="007B03F8">
        <w:rPr>
          <w:rFonts w:ascii="Arial Narrow" w:hAnsi="Arial Narrow"/>
        </w:rPr>
        <w:t xml:space="preserve">. </w:t>
      </w:r>
      <w:r>
        <w:rPr>
          <w:rFonts w:ascii="Arial Narrow" w:hAnsi="Arial Narrow"/>
        </w:rPr>
        <w:t>Let us note that in the present judgment, in which the European Court of Human Rights</w:t>
      </w:r>
      <w:r w:rsidRPr="007B03F8">
        <w:rPr>
          <w:rFonts w:ascii="Arial Narrow" w:hAnsi="Arial Narrow"/>
        </w:rPr>
        <w:t>, like the House of Lords, found that the derogatory measures had been disproportionate in that they had discriminated unjustifiably between nationals and non-nationals</w:t>
      </w:r>
      <w:r w:rsidRPr="007B03F8">
        <w:rPr>
          <w:rStyle w:val="FootnoteReference"/>
          <w:rFonts w:ascii="Arial Narrow" w:hAnsi="Arial Narrow"/>
        </w:rPr>
        <w:footnoteReference w:id="43"/>
      </w:r>
      <w:r w:rsidRPr="007B03F8">
        <w:rPr>
          <w:rFonts w:ascii="Arial Narrow" w:hAnsi="Arial Narrow"/>
        </w:rPr>
        <w:t xml:space="preserve">, </w:t>
      </w:r>
      <w:r>
        <w:rPr>
          <w:rFonts w:ascii="Arial Narrow" w:hAnsi="Arial Narrow"/>
        </w:rPr>
        <w:t>is particularly interesting</w:t>
      </w:r>
      <w:r w:rsidRPr="007B03F8">
        <w:rPr>
          <w:rFonts w:ascii="Arial Narrow" w:hAnsi="Arial Narrow"/>
        </w:rPr>
        <w:t xml:space="preserve"> in</w:t>
      </w:r>
      <w:r>
        <w:rPr>
          <w:rFonts w:ascii="Arial Narrow" w:hAnsi="Arial Narrow"/>
        </w:rPr>
        <w:t xml:space="preserve"> </w:t>
      </w:r>
      <w:r w:rsidRPr="007B03F8">
        <w:rPr>
          <w:rFonts w:ascii="Arial Narrow" w:hAnsi="Arial Narrow"/>
        </w:rPr>
        <w:t>so</w:t>
      </w:r>
      <w:r>
        <w:rPr>
          <w:rFonts w:ascii="Arial Narrow" w:hAnsi="Arial Narrow"/>
        </w:rPr>
        <w:t xml:space="preserve"> </w:t>
      </w:r>
      <w:r w:rsidRPr="007B03F8">
        <w:rPr>
          <w:rFonts w:ascii="Arial Narrow" w:hAnsi="Arial Narrow"/>
        </w:rPr>
        <w:t xml:space="preserve">far as it </w:t>
      </w:r>
      <w:r>
        <w:rPr>
          <w:rFonts w:ascii="Arial Narrow" w:hAnsi="Arial Narrow"/>
        </w:rPr>
        <w:t xml:space="preserve">provides an overview of </w:t>
      </w:r>
      <w:r w:rsidRPr="007B03F8">
        <w:rPr>
          <w:rFonts w:ascii="Arial Narrow" w:hAnsi="Arial Narrow"/>
        </w:rPr>
        <w:t xml:space="preserve">the </w:t>
      </w:r>
      <w:r>
        <w:rPr>
          <w:rFonts w:ascii="Arial Narrow" w:hAnsi="Arial Narrow"/>
        </w:rPr>
        <w:t xml:space="preserve">European Court’s </w:t>
      </w:r>
      <w:r w:rsidRPr="007B03F8">
        <w:rPr>
          <w:rFonts w:ascii="Arial Narrow" w:hAnsi="Arial Narrow"/>
        </w:rPr>
        <w:t xml:space="preserve">case-law concerning </w:t>
      </w:r>
      <w:r>
        <w:rPr>
          <w:rFonts w:ascii="Arial Narrow" w:hAnsi="Arial Narrow"/>
        </w:rPr>
        <w:t>the right of de</w:t>
      </w:r>
      <w:r w:rsidRPr="007B03F8">
        <w:rPr>
          <w:rFonts w:ascii="Arial Narrow" w:hAnsi="Arial Narrow"/>
        </w:rPr>
        <w:t xml:space="preserve">rogation under Article 15 of the Convention.  </w:t>
      </w:r>
    </w:p>
    <w:p w14:paraId="1E7DD1A7" w14:textId="77777777" w:rsidR="00895297" w:rsidRPr="007B03F8" w:rsidRDefault="00895297" w:rsidP="00895297">
      <w:pPr>
        <w:tabs>
          <w:tab w:val="left" w:pos="567"/>
        </w:tabs>
        <w:spacing w:line="480" w:lineRule="auto"/>
        <w:jc w:val="both"/>
        <w:rPr>
          <w:rFonts w:ascii="Arial Narrow" w:hAnsi="Arial Narrow"/>
        </w:rPr>
      </w:pPr>
    </w:p>
    <w:p w14:paraId="5BE0AFD6" w14:textId="12FDB590" w:rsidR="00895297" w:rsidRDefault="00895297" w:rsidP="00895297">
      <w:pPr>
        <w:tabs>
          <w:tab w:val="left" w:pos="567"/>
        </w:tabs>
        <w:spacing w:line="480" w:lineRule="auto"/>
        <w:jc w:val="both"/>
        <w:rPr>
          <w:rFonts w:ascii="Arial Narrow" w:hAnsi="Arial Narrow"/>
        </w:rPr>
      </w:pPr>
      <w:r w:rsidRPr="007B03F8">
        <w:rPr>
          <w:rFonts w:ascii="Arial Narrow" w:hAnsi="Arial Narrow"/>
        </w:rPr>
        <w:tab/>
      </w:r>
      <w:r>
        <w:rPr>
          <w:rFonts w:ascii="Arial Narrow" w:hAnsi="Arial Narrow"/>
        </w:rPr>
        <w:t>3</w:t>
      </w:r>
      <w:r w:rsidR="008D4FE1">
        <w:rPr>
          <w:rFonts w:ascii="Arial Narrow" w:hAnsi="Arial Narrow"/>
        </w:rPr>
        <w:t>5</w:t>
      </w:r>
      <w:r w:rsidRPr="007B03F8">
        <w:rPr>
          <w:rFonts w:ascii="Arial Narrow" w:hAnsi="Arial Narrow"/>
        </w:rPr>
        <w:t>.  </w:t>
      </w:r>
      <w:r>
        <w:rPr>
          <w:rFonts w:ascii="Arial Narrow" w:hAnsi="Arial Narrow"/>
        </w:rPr>
        <w:t xml:space="preserve">The </w:t>
      </w:r>
      <w:r w:rsidRPr="007B03F8">
        <w:rPr>
          <w:rFonts w:ascii="Arial Narrow" w:hAnsi="Arial Narrow"/>
          <w:i/>
        </w:rPr>
        <w:t xml:space="preserve">Trabelsi </w:t>
      </w:r>
      <w:r>
        <w:rPr>
          <w:rFonts w:ascii="Arial Narrow" w:hAnsi="Arial Narrow"/>
          <w:i/>
        </w:rPr>
        <w:t>v. Belgium</w:t>
      </w:r>
      <w:r w:rsidRPr="007B03F8">
        <w:rPr>
          <w:rFonts w:ascii="Arial Narrow" w:hAnsi="Arial Narrow"/>
        </w:rPr>
        <w:t xml:space="preserve"> </w:t>
      </w:r>
      <w:r>
        <w:rPr>
          <w:rFonts w:ascii="Arial Narrow" w:hAnsi="Arial Narrow"/>
        </w:rPr>
        <w:t>judgment of</w:t>
      </w:r>
      <w:r w:rsidRPr="007B03F8">
        <w:rPr>
          <w:rFonts w:ascii="Arial Narrow" w:hAnsi="Arial Narrow"/>
        </w:rPr>
        <w:t xml:space="preserve"> 4 </w:t>
      </w:r>
      <w:r>
        <w:rPr>
          <w:rFonts w:ascii="Arial Narrow" w:hAnsi="Arial Narrow"/>
        </w:rPr>
        <w:t>September</w:t>
      </w:r>
      <w:r w:rsidRPr="007B03F8">
        <w:rPr>
          <w:rFonts w:ascii="Arial Narrow" w:hAnsi="Arial Narrow"/>
        </w:rPr>
        <w:t xml:space="preserve"> 2014 concer</w:t>
      </w:r>
      <w:r>
        <w:rPr>
          <w:rFonts w:ascii="Arial Narrow" w:hAnsi="Arial Narrow"/>
        </w:rPr>
        <w:t>ns</w:t>
      </w:r>
      <w:r w:rsidRPr="007B03F8">
        <w:rPr>
          <w:rFonts w:ascii="Arial Narrow" w:hAnsi="Arial Narrow"/>
        </w:rPr>
        <w:t xml:space="preserve"> </w:t>
      </w:r>
      <w:r>
        <w:rPr>
          <w:rFonts w:ascii="Arial Narrow" w:hAnsi="Arial Narrow"/>
        </w:rPr>
        <w:t>another situation</w:t>
      </w:r>
      <w:r w:rsidRPr="007B03F8">
        <w:rPr>
          <w:rFonts w:ascii="Arial Narrow" w:hAnsi="Arial Narrow"/>
        </w:rPr>
        <w:t xml:space="preserve">. </w:t>
      </w:r>
      <w:r>
        <w:rPr>
          <w:rFonts w:ascii="Arial Narrow" w:hAnsi="Arial Narrow"/>
        </w:rPr>
        <w:t xml:space="preserve">In this case the Court ruled against the extradition of the applicant to the United States where he was being prosecuted on </w:t>
      </w:r>
      <w:r w:rsidRPr="00E77AD9">
        <w:rPr>
          <w:rFonts w:ascii="Arial Narrow" w:hAnsi="Arial Narrow"/>
        </w:rPr>
        <w:t xml:space="preserve">charges </w:t>
      </w:r>
      <w:r>
        <w:rPr>
          <w:rFonts w:ascii="Arial Narrow" w:hAnsi="Arial Narrow"/>
        </w:rPr>
        <w:t>of terrorist offences</w:t>
      </w:r>
      <w:r w:rsidRPr="00E77AD9">
        <w:rPr>
          <w:rFonts w:ascii="Arial Narrow" w:hAnsi="Arial Narrow"/>
        </w:rPr>
        <w:t xml:space="preserve">, </w:t>
      </w:r>
      <w:r>
        <w:rPr>
          <w:rFonts w:ascii="Arial Narrow" w:hAnsi="Arial Narrow"/>
        </w:rPr>
        <w:t>for which he</w:t>
      </w:r>
      <w:r w:rsidRPr="00E77AD9">
        <w:rPr>
          <w:rFonts w:ascii="Arial Narrow" w:hAnsi="Arial Narrow"/>
        </w:rPr>
        <w:t xml:space="preserve"> was liable to </w:t>
      </w:r>
      <w:r>
        <w:rPr>
          <w:rFonts w:ascii="Arial Narrow" w:hAnsi="Arial Narrow"/>
        </w:rPr>
        <w:t xml:space="preserve">an </w:t>
      </w:r>
      <w:r w:rsidRPr="00E77AD9">
        <w:rPr>
          <w:rFonts w:ascii="Arial Narrow" w:hAnsi="Arial Narrow"/>
        </w:rPr>
        <w:t>irreducible life sentence</w:t>
      </w:r>
      <w:r>
        <w:rPr>
          <w:rFonts w:ascii="Arial Narrow" w:hAnsi="Arial Narrow"/>
        </w:rPr>
        <w:t>, that is to say a sentence with no possibility of a review</w:t>
      </w:r>
      <w:r w:rsidRPr="007B03F8">
        <w:rPr>
          <w:rFonts w:ascii="Arial Narrow" w:hAnsi="Arial Narrow"/>
        </w:rPr>
        <w:t>.</w:t>
      </w:r>
      <w:r>
        <w:rPr>
          <w:rFonts w:ascii="Arial Narrow" w:hAnsi="Arial Narrow"/>
        </w:rPr>
        <w:t xml:space="preserve"> The Court considered that</w:t>
      </w:r>
      <w:r w:rsidRPr="00F14051">
        <w:rPr>
          <w:rFonts w:ascii="Arial Narrow" w:hAnsi="Arial Narrow"/>
        </w:rPr>
        <w:t xml:space="preserve"> in view of the gravity of</w:t>
      </w:r>
      <w:r>
        <w:rPr>
          <w:rFonts w:ascii="Arial Narrow" w:hAnsi="Arial Narrow"/>
        </w:rPr>
        <w:t> </w:t>
      </w:r>
      <w:r w:rsidRPr="00F14051">
        <w:rPr>
          <w:rFonts w:ascii="Arial Narrow" w:hAnsi="Arial Narrow"/>
        </w:rPr>
        <w:t xml:space="preserve">the terrorist offences with which </w:t>
      </w:r>
      <w:r>
        <w:rPr>
          <w:rFonts w:ascii="Arial Narrow" w:hAnsi="Arial Narrow"/>
        </w:rPr>
        <w:t>the applicant</w:t>
      </w:r>
      <w:r w:rsidRPr="00F14051">
        <w:rPr>
          <w:rFonts w:ascii="Arial Narrow" w:hAnsi="Arial Narrow"/>
        </w:rPr>
        <w:t xml:space="preserve"> stood charged and the fact that a sentence could only be imposed after the trial court had taken into consideration all relevant mitigating and aggra</w:t>
      </w:r>
      <w:r>
        <w:rPr>
          <w:rFonts w:ascii="Arial Narrow" w:hAnsi="Arial Narrow"/>
        </w:rPr>
        <w:t>vating factors, a discretionary</w:t>
      </w:r>
      <w:r w:rsidRPr="00F14051">
        <w:rPr>
          <w:rFonts w:ascii="Arial Narrow" w:hAnsi="Arial Narrow"/>
        </w:rPr>
        <w:t xml:space="preserve"> life sentence would not be grossly disproportionate</w:t>
      </w:r>
      <w:r w:rsidR="00A3118A" w:rsidRPr="007B03F8">
        <w:rPr>
          <w:rStyle w:val="FootnoteReference"/>
          <w:rFonts w:ascii="Arial Narrow" w:hAnsi="Arial Narrow"/>
        </w:rPr>
        <w:footnoteReference w:id="44"/>
      </w:r>
      <w:r>
        <w:rPr>
          <w:rFonts w:ascii="Arial Narrow" w:hAnsi="Arial Narrow"/>
        </w:rPr>
        <w:t>. It found</w:t>
      </w:r>
      <w:r w:rsidRPr="00F14051">
        <w:rPr>
          <w:rFonts w:ascii="Arial Narrow" w:hAnsi="Arial Narrow"/>
        </w:rPr>
        <w:t xml:space="preserve">, however, that the US authorities had at no point provided any concrete assurance that </w:t>
      </w:r>
      <w:r>
        <w:rPr>
          <w:rFonts w:ascii="Arial Narrow" w:hAnsi="Arial Narrow"/>
        </w:rPr>
        <w:t>the applicant</w:t>
      </w:r>
      <w:r w:rsidRPr="00F14051">
        <w:rPr>
          <w:rFonts w:ascii="Arial Narrow" w:hAnsi="Arial Narrow"/>
        </w:rPr>
        <w:t xml:space="preserve"> would be spared an irreducible life sentence. </w:t>
      </w:r>
      <w:r>
        <w:rPr>
          <w:rFonts w:ascii="Arial Narrow" w:hAnsi="Arial Narrow"/>
        </w:rPr>
        <w:t>The Court also noted</w:t>
      </w:r>
      <w:r w:rsidRPr="00F14051">
        <w:rPr>
          <w:rFonts w:ascii="Arial Narrow" w:hAnsi="Arial Narrow"/>
        </w:rPr>
        <w:t xml:space="preserve"> that, while US legislation provided various possibilities for reducing life sentences (including the Presidential pardon system), which gave </w:t>
      </w:r>
      <w:r>
        <w:rPr>
          <w:rFonts w:ascii="Arial Narrow" w:hAnsi="Arial Narrow"/>
        </w:rPr>
        <w:t>the applicant</w:t>
      </w:r>
      <w:r w:rsidRPr="00F14051">
        <w:rPr>
          <w:rFonts w:ascii="Arial Narrow" w:hAnsi="Arial Narrow"/>
        </w:rPr>
        <w:t xml:space="preserve"> some “prospect of release”, it did not lay down any procedure amounting to a mechanism for reviewing such sentences for the purposes of Article 3</w:t>
      </w:r>
      <w:r>
        <w:rPr>
          <w:rFonts w:ascii="Arial Narrow" w:hAnsi="Arial Narrow"/>
        </w:rPr>
        <w:t xml:space="preserve"> of the Convention</w:t>
      </w:r>
      <w:r w:rsidRPr="00F14051">
        <w:rPr>
          <w:rFonts w:ascii="Arial Narrow" w:hAnsi="Arial Narrow"/>
        </w:rPr>
        <w:t>.</w:t>
      </w:r>
      <w:r>
        <w:rPr>
          <w:rFonts w:ascii="Arial Narrow" w:hAnsi="Arial Narrow"/>
        </w:rPr>
        <w:t xml:space="preserve"> </w:t>
      </w:r>
      <w:r w:rsidRPr="00F14051">
        <w:rPr>
          <w:rFonts w:ascii="Arial Narrow" w:hAnsi="Arial Narrow"/>
        </w:rPr>
        <w:t xml:space="preserve">Therefore, the life imprisonment to which </w:t>
      </w:r>
      <w:r>
        <w:rPr>
          <w:rFonts w:ascii="Arial Narrow" w:hAnsi="Arial Narrow"/>
        </w:rPr>
        <w:t xml:space="preserve">the applicant </w:t>
      </w:r>
      <w:r w:rsidRPr="00F14051">
        <w:rPr>
          <w:rFonts w:ascii="Arial Narrow" w:hAnsi="Arial Narrow"/>
        </w:rPr>
        <w:t>might be sentenced could not be described as reducible, which meant that his extradition to the United States had amounted to a violation of Article 3</w:t>
      </w:r>
      <w:r w:rsidR="006C7444" w:rsidRPr="007B03F8">
        <w:rPr>
          <w:rStyle w:val="FootnoteReference"/>
          <w:rFonts w:ascii="Arial Narrow" w:hAnsi="Arial Narrow"/>
        </w:rPr>
        <w:footnoteReference w:id="45"/>
      </w:r>
      <w:r w:rsidRPr="00F14051">
        <w:rPr>
          <w:rFonts w:ascii="Arial Narrow" w:hAnsi="Arial Narrow"/>
        </w:rPr>
        <w:t>.</w:t>
      </w:r>
    </w:p>
    <w:p w14:paraId="74765554" w14:textId="77777777" w:rsidR="00DB6C7C" w:rsidRDefault="00DB6C7C" w:rsidP="00895297">
      <w:pPr>
        <w:tabs>
          <w:tab w:val="left" w:pos="567"/>
        </w:tabs>
        <w:spacing w:line="480" w:lineRule="auto"/>
        <w:jc w:val="both"/>
        <w:rPr>
          <w:rFonts w:ascii="Arial Narrow" w:hAnsi="Arial Narrow"/>
        </w:rPr>
      </w:pPr>
    </w:p>
    <w:p w14:paraId="7AB47FA8" w14:textId="0D5453CF" w:rsidR="00DB6C7C" w:rsidRDefault="00DB6C7C" w:rsidP="00895297">
      <w:pPr>
        <w:tabs>
          <w:tab w:val="left" w:pos="567"/>
        </w:tabs>
        <w:spacing w:line="480" w:lineRule="auto"/>
        <w:jc w:val="both"/>
        <w:rPr>
          <w:rFonts w:ascii="Arial Narrow" w:hAnsi="Arial Narrow"/>
        </w:rPr>
      </w:pPr>
      <w:r>
        <w:rPr>
          <w:rFonts w:ascii="Arial Narrow" w:hAnsi="Arial Narrow"/>
        </w:rPr>
        <w:tab/>
        <w:t>3</w:t>
      </w:r>
      <w:r w:rsidR="008D4FE1">
        <w:rPr>
          <w:rFonts w:ascii="Arial Narrow" w:hAnsi="Arial Narrow"/>
        </w:rPr>
        <w:t>6</w:t>
      </w:r>
      <w:r w:rsidRPr="007B03F8">
        <w:rPr>
          <w:rFonts w:ascii="Arial Narrow" w:hAnsi="Arial Narrow"/>
        </w:rPr>
        <w:t>.  </w:t>
      </w:r>
      <w:r w:rsidRPr="009F2265">
        <w:rPr>
          <w:rFonts w:ascii="Arial Narrow" w:hAnsi="Arial Narrow"/>
          <w:noProof/>
        </w:rPr>
        <w:t xml:space="preserve">I know that there is resistance in the United Kingdom against the </w:t>
      </w:r>
      <w:r w:rsidRPr="009F2265">
        <w:rPr>
          <w:rFonts w:ascii="Arial Narrow" w:hAnsi="Arial Narrow"/>
          <w:i/>
          <w:noProof/>
        </w:rPr>
        <w:t>Vinter and Others</w:t>
      </w:r>
      <w:r w:rsidRPr="009F2265">
        <w:rPr>
          <w:rFonts w:ascii="Arial Narrow" w:hAnsi="Arial Narrow"/>
          <w:noProof/>
        </w:rPr>
        <w:t xml:space="preserve"> Grand Chamber judgment of </w:t>
      </w:r>
      <w:r>
        <w:rPr>
          <w:rFonts w:ascii="Arial Narrow" w:hAnsi="Arial Narrow"/>
          <w:noProof/>
        </w:rPr>
        <w:t>9 July 2013 concerning</w:t>
      </w:r>
      <w:r w:rsidRPr="009F2265">
        <w:rPr>
          <w:rFonts w:ascii="Arial Narrow" w:hAnsi="Arial Narrow"/>
          <w:noProof/>
        </w:rPr>
        <w:t xml:space="preserve"> whole-life sentences and the subsequent </w:t>
      </w:r>
      <w:r>
        <w:rPr>
          <w:rFonts w:ascii="Arial Narrow" w:hAnsi="Arial Narrow"/>
          <w:noProof/>
        </w:rPr>
        <w:t xml:space="preserve">judgments in the cases of </w:t>
      </w:r>
      <w:r w:rsidRPr="001B019C">
        <w:rPr>
          <w:rFonts w:ascii="Arial Narrow" w:hAnsi="Arial Narrow"/>
          <w:i/>
          <w:noProof/>
        </w:rPr>
        <w:t>Öcalan v. Turkey (no. 2)</w:t>
      </w:r>
      <w:r>
        <w:rPr>
          <w:rFonts w:ascii="Arial Narrow" w:hAnsi="Arial Narrow"/>
          <w:noProof/>
        </w:rPr>
        <w:t xml:space="preserve"> of 18 March </w:t>
      </w:r>
      <w:r w:rsidRPr="009F2265">
        <w:rPr>
          <w:rFonts w:ascii="Arial Narrow" w:hAnsi="Arial Narrow"/>
          <w:noProof/>
        </w:rPr>
        <w:t>20</w:t>
      </w:r>
      <w:r>
        <w:rPr>
          <w:rFonts w:ascii="Arial Narrow" w:hAnsi="Arial Narrow"/>
          <w:noProof/>
        </w:rPr>
        <w:t>1</w:t>
      </w:r>
      <w:r w:rsidRPr="009F2265">
        <w:rPr>
          <w:rFonts w:ascii="Arial Narrow" w:hAnsi="Arial Narrow"/>
          <w:noProof/>
        </w:rPr>
        <w:t xml:space="preserve">4 </w:t>
      </w:r>
      <w:r>
        <w:rPr>
          <w:rFonts w:ascii="Arial Narrow" w:hAnsi="Arial Narrow"/>
          <w:noProof/>
        </w:rPr>
        <w:t>and</w:t>
      </w:r>
      <w:r w:rsidRPr="009F2265">
        <w:rPr>
          <w:rFonts w:ascii="Arial Narrow" w:hAnsi="Arial Narrow"/>
          <w:noProof/>
        </w:rPr>
        <w:t xml:space="preserve"> </w:t>
      </w:r>
      <w:r w:rsidRPr="001B019C">
        <w:rPr>
          <w:rFonts w:ascii="Arial Narrow" w:hAnsi="Arial Narrow"/>
          <w:i/>
          <w:noProof/>
        </w:rPr>
        <w:t>Murray v. the Netherlands</w:t>
      </w:r>
      <w:r>
        <w:rPr>
          <w:rFonts w:ascii="Arial Narrow" w:hAnsi="Arial Narrow"/>
          <w:noProof/>
        </w:rPr>
        <w:t xml:space="preserve"> (Grand Chamber)</w:t>
      </w:r>
      <w:r w:rsidRPr="009F2265">
        <w:rPr>
          <w:rFonts w:ascii="Arial Narrow" w:hAnsi="Arial Narrow"/>
          <w:noProof/>
        </w:rPr>
        <w:t xml:space="preserve"> </w:t>
      </w:r>
      <w:r>
        <w:rPr>
          <w:rFonts w:ascii="Arial Narrow" w:hAnsi="Arial Narrow"/>
          <w:noProof/>
        </w:rPr>
        <w:t xml:space="preserve">of 26 April </w:t>
      </w:r>
      <w:r w:rsidRPr="009F2265">
        <w:rPr>
          <w:rFonts w:ascii="Arial Narrow" w:hAnsi="Arial Narrow"/>
          <w:noProof/>
        </w:rPr>
        <w:t xml:space="preserve">2016. </w:t>
      </w:r>
      <w:r>
        <w:rPr>
          <w:rFonts w:ascii="Arial Narrow" w:hAnsi="Arial Narrow"/>
          <w:noProof/>
        </w:rPr>
        <w:t>Soon</w:t>
      </w:r>
      <w:r w:rsidRPr="009F2265">
        <w:rPr>
          <w:rFonts w:ascii="Arial Narrow" w:hAnsi="Arial Narrow"/>
          <w:noProof/>
        </w:rPr>
        <w:t xml:space="preserve"> we </w:t>
      </w:r>
      <w:r>
        <w:rPr>
          <w:rFonts w:ascii="Arial Narrow" w:hAnsi="Arial Narrow"/>
          <w:noProof/>
        </w:rPr>
        <w:t>will</w:t>
      </w:r>
      <w:r w:rsidRPr="009F2265">
        <w:rPr>
          <w:rFonts w:ascii="Arial Narrow" w:hAnsi="Arial Narrow"/>
          <w:noProof/>
        </w:rPr>
        <w:t xml:space="preserve"> see if</w:t>
      </w:r>
      <w:r w:rsidR="00CC5E80">
        <w:rPr>
          <w:rFonts w:ascii="Arial Narrow" w:hAnsi="Arial Narrow"/>
          <w:noProof/>
        </w:rPr>
        <w:t xml:space="preserve"> in</w:t>
      </w:r>
      <w:r w:rsidRPr="009F2265">
        <w:rPr>
          <w:rFonts w:ascii="Arial Narrow" w:hAnsi="Arial Narrow"/>
          <w:noProof/>
        </w:rPr>
        <w:t xml:space="preserve"> the</w:t>
      </w:r>
      <w:r w:rsidR="00CC5E80">
        <w:rPr>
          <w:rFonts w:ascii="Arial Narrow" w:hAnsi="Arial Narrow"/>
          <w:noProof/>
        </w:rPr>
        <w:t xml:space="preserve"> case of</w:t>
      </w:r>
      <w:r w:rsidRPr="009F2265">
        <w:rPr>
          <w:rFonts w:ascii="Arial Narrow" w:hAnsi="Arial Narrow"/>
          <w:noProof/>
        </w:rPr>
        <w:t xml:space="preserve"> </w:t>
      </w:r>
      <w:r w:rsidRPr="001B019C">
        <w:rPr>
          <w:rFonts w:ascii="Arial Narrow" w:hAnsi="Arial Narrow"/>
          <w:i/>
          <w:noProof/>
        </w:rPr>
        <w:t>Hutchinson v. the United Kingdom</w:t>
      </w:r>
      <w:r w:rsidR="00CC5E80">
        <w:rPr>
          <w:rFonts w:ascii="Arial Narrow" w:hAnsi="Arial Narrow"/>
          <w:i/>
          <w:noProof/>
        </w:rPr>
        <w:t>,</w:t>
      </w:r>
      <w:r>
        <w:rPr>
          <w:rFonts w:ascii="Arial Narrow" w:hAnsi="Arial Narrow"/>
          <w:noProof/>
        </w:rPr>
        <w:t xml:space="preserve"> </w:t>
      </w:r>
      <w:r w:rsidR="00CC5E80">
        <w:rPr>
          <w:rFonts w:ascii="Arial Narrow" w:hAnsi="Arial Narrow"/>
          <w:noProof/>
        </w:rPr>
        <w:t xml:space="preserve">currently pending before the </w:t>
      </w:r>
      <w:r>
        <w:rPr>
          <w:rFonts w:ascii="Arial Narrow" w:hAnsi="Arial Narrow"/>
          <w:noProof/>
        </w:rPr>
        <w:t>Grand Chamber</w:t>
      </w:r>
      <w:r w:rsidR="00CC5E80">
        <w:rPr>
          <w:rFonts w:ascii="Arial Narrow" w:hAnsi="Arial Narrow"/>
          <w:noProof/>
        </w:rPr>
        <w:t>,</w:t>
      </w:r>
      <w:r w:rsidRPr="009F2265">
        <w:rPr>
          <w:rFonts w:ascii="Arial Narrow" w:hAnsi="Arial Narrow"/>
          <w:noProof/>
        </w:rPr>
        <w:t xml:space="preserve"> </w:t>
      </w:r>
      <w:r w:rsidR="00CC5E80">
        <w:rPr>
          <w:rFonts w:ascii="Arial Narrow" w:hAnsi="Arial Narrow"/>
          <w:noProof/>
        </w:rPr>
        <w:t xml:space="preserve">the Court </w:t>
      </w:r>
      <w:r w:rsidRPr="009F2265">
        <w:rPr>
          <w:rFonts w:ascii="Arial Narrow" w:hAnsi="Arial Narrow"/>
          <w:noProof/>
        </w:rPr>
        <w:t xml:space="preserve">will confirm </w:t>
      </w:r>
      <w:r>
        <w:rPr>
          <w:rFonts w:ascii="Arial Narrow" w:hAnsi="Arial Narrow"/>
          <w:noProof/>
        </w:rPr>
        <w:t>its case-law. M</w:t>
      </w:r>
      <w:r w:rsidRPr="009F2265">
        <w:rPr>
          <w:rFonts w:ascii="Arial Narrow" w:hAnsi="Arial Narrow"/>
          <w:noProof/>
        </w:rPr>
        <w:t>oreover</w:t>
      </w:r>
      <w:r>
        <w:rPr>
          <w:rFonts w:ascii="Arial Narrow" w:hAnsi="Arial Narrow"/>
          <w:noProof/>
        </w:rPr>
        <w:t>,</w:t>
      </w:r>
      <w:r w:rsidRPr="009F2265">
        <w:rPr>
          <w:rFonts w:ascii="Arial Narrow" w:hAnsi="Arial Narrow"/>
          <w:noProof/>
        </w:rPr>
        <w:t xml:space="preserve"> the </w:t>
      </w:r>
      <w:r>
        <w:rPr>
          <w:rFonts w:ascii="Arial Narrow" w:hAnsi="Arial Narrow"/>
          <w:noProof/>
        </w:rPr>
        <w:t>Grand Chamber</w:t>
      </w:r>
      <w:r w:rsidRPr="009F2265">
        <w:rPr>
          <w:rFonts w:ascii="Arial Narrow" w:hAnsi="Arial Narrow"/>
          <w:noProof/>
        </w:rPr>
        <w:t xml:space="preserve"> will </w:t>
      </w:r>
      <w:r>
        <w:rPr>
          <w:rFonts w:ascii="Arial Narrow" w:hAnsi="Arial Narrow"/>
          <w:noProof/>
        </w:rPr>
        <w:t xml:space="preserve">be </w:t>
      </w:r>
      <w:r w:rsidRPr="009F2265">
        <w:rPr>
          <w:rFonts w:ascii="Arial Narrow" w:hAnsi="Arial Narrow"/>
          <w:noProof/>
        </w:rPr>
        <w:t>hold</w:t>
      </w:r>
      <w:r>
        <w:rPr>
          <w:rFonts w:ascii="Arial Narrow" w:hAnsi="Arial Narrow"/>
          <w:noProof/>
        </w:rPr>
        <w:t>ing</w:t>
      </w:r>
      <w:r w:rsidRPr="009F2265">
        <w:rPr>
          <w:rFonts w:ascii="Arial Narrow" w:hAnsi="Arial Narrow"/>
          <w:noProof/>
        </w:rPr>
        <w:t xml:space="preserve"> a hearing on 11 </w:t>
      </w:r>
      <w:r>
        <w:rPr>
          <w:rFonts w:ascii="Arial Narrow" w:hAnsi="Arial Narrow"/>
          <w:noProof/>
        </w:rPr>
        <w:t>January 2017 in</w:t>
      </w:r>
      <w:r w:rsidRPr="009F2265">
        <w:rPr>
          <w:rFonts w:ascii="Arial Narrow" w:hAnsi="Arial Narrow"/>
          <w:noProof/>
        </w:rPr>
        <w:t xml:space="preserve"> the case</w:t>
      </w:r>
      <w:r>
        <w:rPr>
          <w:rFonts w:ascii="Arial Narrow" w:hAnsi="Arial Narrow"/>
          <w:noProof/>
        </w:rPr>
        <w:t xml:space="preserve"> of</w:t>
      </w:r>
      <w:r w:rsidRPr="009F2265">
        <w:rPr>
          <w:rFonts w:ascii="Arial Narrow" w:hAnsi="Arial Narrow"/>
          <w:noProof/>
        </w:rPr>
        <w:t xml:space="preserve"> </w:t>
      </w:r>
      <w:r w:rsidRPr="001B019C">
        <w:rPr>
          <w:rFonts w:ascii="Arial Narrow" w:hAnsi="Arial Narrow"/>
          <w:i/>
          <w:noProof/>
        </w:rPr>
        <w:t>Harkins v. the United Kingdom</w:t>
      </w:r>
      <w:r>
        <w:rPr>
          <w:rFonts w:ascii="Arial Narrow" w:hAnsi="Arial Narrow"/>
          <w:noProof/>
        </w:rPr>
        <w:t>, which concerns an extradit</w:t>
      </w:r>
      <w:r w:rsidRPr="009F2265">
        <w:rPr>
          <w:rFonts w:ascii="Arial Narrow" w:hAnsi="Arial Narrow"/>
          <w:noProof/>
        </w:rPr>
        <w:t xml:space="preserve">ion order to the </w:t>
      </w:r>
      <w:r>
        <w:rPr>
          <w:rFonts w:ascii="Arial Narrow" w:hAnsi="Arial Narrow"/>
          <w:noProof/>
        </w:rPr>
        <w:t xml:space="preserve">United States of America </w:t>
      </w:r>
      <w:r w:rsidRPr="009F2265">
        <w:rPr>
          <w:rFonts w:ascii="Arial Narrow" w:hAnsi="Arial Narrow"/>
          <w:noProof/>
        </w:rPr>
        <w:t>w</w:t>
      </w:r>
      <w:r>
        <w:rPr>
          <w:rFonts w:ascii="Arial Narrow" w:hAnsi="Arial Narrow"/>
          <w:noProof/>
        </w:rPr>
        <w:t>here the appl</w:t>
      </w:r>
      <w:r w:rsidRPr="009F2265">
        <w:rPr>
          <w:rFonts w:ascii="Arial Narrow" w:hAnsi="Arial Narrow"/>
          <w:noProof/>
        </w:rPr>
        <w:t>icant is facing a mandatory life sentence in prison without parole</w:t>
      </w:r>
      <w:r>
        <w:rPr>
          <w:rFonts w:ascii="Arial Narrow" w:hAnsi="Arial Narrow"/>
          <w:noProof/>
        </w:rPr>
        <w:t>.</w:t>
      </w:r>
    </w:p>
    <w:p w14:paraId="55C6791C" w14:textId="77777777" w:rsidR="00895297" w:rsidRPr="007B03F8" w:rsidRDefault="00895297" w:rsidP="00895297">
      <w:pPr>
        <w:tabs>
          <w:tab w:val="left" w:pos="567"/>
          <w:tab w:val="left" w:pos="993"/>
        </w:tabs>
        <w:spacing w:line="480" w:lineRule="auto"/>
        <w:ind w:firstLine="567"/>
        <w:jc w:val="both"/>
        <w:rPr>
          <w:rFonts w:ascii="Arial Narrow" w:hAnsi="Arial Narrow"/>
        </w:rPr>
      </w:pPr>
    </w:p>
    <w:p w14:paraId="3A21153E" w14:textId="1C1CC9CD" w:rsidR="00895297" w:rsidRPr="00732904" w:rsidRDefault="00895297" w:rsidP="00895297">
      <w:pPr>
        <w:tabs>
          <w:tab w:val="left" w:pos="567"/>
          <w:tab w:val="left" w:pos="993"/>
        </w:tabs>
        <w:spacing w:line="480" w:lineRule="auto"/>
        <w:ind w:firstLine="567"/>
        <w:jc w:val="both"/>
        <w:rPr>
          <w:rFonts w:ascii="Arial Narrow" w:hAnsi="Arial Narrow"/>
        </w:rPr>
      </w:pPr>
      <w:r>
        <w:rPr>
          <w:rFonts w:ascii="Arial Narrow" w:hAnsi="Arial Narrow"/>
        </w:rPr>
        <w:t>3</w:t>
      </w:r>
      <w:r w:rsidR="008D4FE1">
        <w:rPr>
          <w:rFonts w:ascii="Arial Narrow" w:hAnsi="Arial Narrow"/>
        </w:rPr>
        <w:t>7</w:t>
      </w:r>
      <w:r w:rsidRPr="007B03F8">
        <w:rPr>
          <w:rFonts w:ascii="Arial Narrow" w:hAnsi="Arial Narrow"/>
        </w:rPr>
        <w:t>.  </w:t>
      </w:r>
      <w:r>
        <w:rPr>
          <w:rFonts w:ascii="Arial Narrow" w:hAnsi="Arial Narrow"/>
        </w:rPr>
        <w:t>By contrast</w:t>
      </w:r>
      <w:r w:rsidRPr="007B03F8">
        <w:rPr>
          <w:rFonts w:ascii="Arial Narrow" w:hAnsi="Arial Narrow"/>
        </w:rPr>
        <w:t xml:space="preserve">, </w:t>
      </w:r>
      <w:r>
        <w:rPr>
          <w:rFonts w:ascii="Arial Narrow" w:hAnsi="Arial Narrow"/>
        </w:rPr>
        <w:t xml:space="preserve">the </w:t>
      </w:r>
      <w:r w:rsidRPr="007B03F8">
        <w:rPr>
          <w:rFonts w:ascii="Arial Narrow" w:hAnsi="Arial Narrow"/>
          <w:i/>
        </w:rPr>
        <w:t xml:space="preserve">Othman (Abu Qatada) </w:t>
      </w:r>
      <w:r>
        <w:rPr>
          <w:rFonts w:ascii="Arial Narrow" w:hAnsi="Arial Narrow"/>
          <w:i/>
        </w:rPr>
        <w:t>v</w:t>
      </w:r>
      <w:r w:rsidRPr="007B03F8">
        <w:rPr>
          <w:rFonts w:ascii="Arial Narrow" w:hAnsi="Arial Narrow"/>
          <w:i/>
        </w:rPr>
        <w:t xml:space="preserve">. </w:t>
      </w:r>
      <w:r>
        <w:rPr>
          <w:rFonts w:ascii="Arial Narrow" w:hAnsi="Arial Narrow"/>
          <w:i/>
        </w:rPr>
        <w:t>the United Kingdom</w:t>
      </w:r>
      <w:r w:rsidRPr="007B03F8">
        <w:rPr>
          <w:rFonts w:ascii="Arial Narrow" w:hAnsi="Arial Narrow"/>
        </w:rPr>
        <w:t xml:space="preserve"> </w:t>
      </w:r>
      <w:r>
        <w:rPr>
          <w:rFonts w:ascii="Arial Narrow" w:hAnsi="Arial Narrow"/>
        </w:rPr>
        <w:t>judgment of 17 January</w:t>
      </w:r>
      <w:r w:rsidRPr="007B03F8">
        <w:rPr>
          <w:rFonts w:ascii="Arial Narrow" w:hAnsi="Arial Narrow"/>
        </w:rPr>
        <w:t xml:space="preserve"> 2012 </w:t>
      </w:r>
      <w:r>
        <w:rPr>
          <w:rFonts w:ascii="Arial Narrow" w:hAnsi="Arial Narrow"/>
        </w:rPr>
        <w:t>reaches a different</w:t>
      </w:r>
      <w:r w:rsidRPr="007B03F8">
        <w:rPr>
          <w:rFonts w:ascii="Arial Narrow" w:hAnsi="Arial Narrow"/>
        </w:rPr>
        <w:t xml:space="preserve"> conclusion. </w:t>
      </w:r>
      <w:r>
        <w:rPr>
          <w:rFonts w:ascii="Arial Narrow" w:hAnsi="Arial Narrow"/>
        </w:rPr>
        <w:t>With regard to A</w:t>
      </w:r>
      <w:r w:rsidRPr="007B03F8">
        <w:rPr>
          <w:rFonts w:ascii="Arial Narrow" w:hAnsi="Arial Narrow"/>
        </w:rPr>
        <w:t xml:space="preserve">rticle 3 </w:t>
      </w:r>
      <w:r>
        <w:rPr>
          <w:rFonts w:ascii="Arial Narrow" w:hAnsi="Arial Narrow"/>
        </w:rPr>
        <w:t>of the</w:t>
      </w:r>
      <w:r w:rsidRPr="007B03F8">
        <w:rPr>
          <w:rFonts w:ascii="Arial Narrow" w:hAnsi="Arial Narrow"/>
        </w:rPr>
        <w:t xml:space="preserve"> Convention,</w:t>
      </w:r>
      <w:r>
        <w:rPr>
          <w:rFonts w:ascii="Arial Narrow" w:hAnsi="Arial Narrow"/>
        </w:rPr>
        <w:t xml:space="preserve"> the Court noted that</w:t>
      </w:r>
      <w:r w:rsidRPr="007B03F8">
        <w:rPr>
          <w:rFonts w:ascii="Arial Narrow" w:hAnsi="Arial Narrow"/>
        </w:rPr>
        <w:t xml:space="preserve">, </w:t>
      </w:r>
      <w:r>
        <w:rPr>
          <w:rFonts w:ascii="Arial Narrow" w:hAnsi="Arial Narrow"/>
        </w:rPr>
        <w:t>in </w:t>
      </w:r>
      <w:r w:rsidRPr="00732904">
        <w:rPr>
          <w:rFonts w:ascii="Arial Narrow" w:hAnsi="Arial Narrow"/>
        </w:rPr>
        <w:t xml:space="preserve">accordance with its well-established case-law, </w:t>
      </w:r>
      <w:r>
        <w:rPr>
          <w:rFonts w:ascii="Arial Narrow" w:hAnsi="Arial Narrow"/>
        </w:rPr>
        <w:t>the applicant</w:t>
      </w:r>
      <w:r w:rsidRPr="00732904">
        <w:rPr>
          <w:rFonts w:ascii="Arial Narrow" w:hAnsi="Arial Narrow"/>
        </w:rPr>
        <w:t xml:space="preserve"> could</w:t>
      </w:r>
      <w:r>
        <w:rPr>
          <w:rFonts w:ascii="Arial Narrow" w:hAnsi="Arial Narrow"/>
        </w:rPr>
        <w:t xml:space="preserve"> </w:t>
      </w:r>
      <w:r w:rsidRPr="00732904">
        <w:rPr>
          <w:rFonts w:ascii="Arial Narrow" w:hAnsi="Arial Narrow"/>
        </w:rPr>
        <w:t>not be deported to Jordan if there were a real risk that he would be tortured or subjected</w:t>
      </w:r>
      <w:r>
        <w:rPr>
          <w:rFonts w:ascii="Arial Narrow" w:hAnsi="Arial Narrow"/>
        </w:rPr>
        <w:t xml:space="preserve"> </w:t>
      </w:r>
      <w:r w:rsidRPr="00732904">
        <w:rPr>
          <w:rFonts w:ascii="Arial Narrow" w:hAnsi="Arial Narrow"/>
        </w:rPr>
        <w:t>to inhuman or degrading treatment.</w:t>
      </w:r>
      <w:r>
        <w:rPr>
          <w:rFonts w:ascii="Arial Narrow" w:hAnsi="Arial Narrow"/>
        </w:rPr>
        <w:t xml:space="preserve"> Yet,</w:t>
      </w:r>
      <w:r w:rsidRPr="007B03F8">
        <w:rPr>
          <w:rFonts w:ascii="Arial Narrow" w:hAnsi="Arial Narrow"/>
        </w:rPr>
        <w:t> </w:t>
      </w:r>
      <w:r>
        <w:rPr>
          <w:rFonts w:ascii="Arial Narrow" w:hAnsi="Arial Narrow"/>
        </w:rPr>
        <w:t>the</w:t>
      </w:r>
      <w:r w:rsidRPr="007B03F8">
        <w:rPr>
          <w:rFonts w:ascii="Arial Narrow" w:hAnsi="Arial Narrow"/>
        </w:rPr>
        <w:t> </w:t>
      </w:r>
      <w:r w:rsidRPr="00732904">
        <w:rPr>
          <w:rFonts w:ascii="Arial Narrow" w:hAnsi="Arial Narrow"/>
        </w:rPr>
        <w:t>reports of United Nations bodies and human rights organisations showed that the</w:t>
      </w:r>
      <w:r>
        <w:rPr>
          <w:rFonts w:ascii="Arial Narrow" w:hAnsi="Arial Narrow"/>
        </w:rPr>
        <w:t xml:space="preserve"> </w:t>
      </w:r>
      <w:r w:rsidRPr="00732904">
        <w:rPr>
          <w:rFonts w:ascii="Arial Narrow" w:hAnsi="Arial Narrow"/>
        </w:rPr>
        <w:t>Jordanian General Intelligence Directorate routinely used torture against</w:t>
      </w:r>
      <w:r>
        <w:rPr>
          <w:rFonts w:ascii="Arial Narrow" w:hAnsi="Arial Narrow"/>
        </w:rPr>
        <w:t xml:space="preserve"> </w:t>
      </w:r>
      <w:r w:rsidRPr="00732904">
        <w:rPr>
          <w:rFonts w:ascii="Arial Narrow" w:hAnsi="Arial Narrow"/>
        </w:rPr>
        <w:t>suspected Islamist terrorists and that no protection against that was provided by the</w:t>
      </w:r>
      <w:r>
        <w:rPr>
          <w:rFonts w:ascii="Arial Narrow" w:hAnsi="Arial Narrow"/>
        </w:rPr>
        <w:t xml:space="preserve"> </w:t>
      </w:r>
      <w:r w:rsidRPr="00732904">
        <w:rPr>
          <w:rFonts w:ascii="Arial Narrow" w:hAnsi="Arial Narrow"/>
        </w:rPr>
        <w:t>courts or any other body in Jordan. The Court therefore had to decide whether the diplomatic assurances obtained by the UK</w:t>
      </w:r>
      <w:r>
        <w:rPr>
          <w:rFonts w:ascii="Arial Narrow" w:hAnsi="Arial Narrow"/>
        </w:rPr>
        <w:t xml:space="preserve"> authorities</w:t>
      </w:r>
      <w:r w:rsidRPr="00732904">
        <w:rPr>
          <w:rFonts w:ascii="Arial Narrow" w:hAnsi="Arial Narrow"/>
        </w:rPr>
        <w:t xml:space="preserve"> from the Jordanian Government were sufficient to protect </w:t>
      </w:r>
      <w:r>
        <w:rPr>
          <w:rFonts w:ascii="Arial Narrow" w:hAnsi="Arial Narrow"/>
        </w:rPr>
        <w:t>the applicant</w:t>
      </w:r>
      <w:r w:rsidRPr="00732904">
        <w:rPr>
          <w:rFonts w:ascii="Arial Narrow" w:hAnsi="Arial Narrow"/>
        </w:rPr>
        <w:t>.</w:t>
      </w:r>
      <w:r>
        <w:rPr>
          <w:rFonts w:ascii="Arial Narrow" w:hAnsi="Arial Narrow"/>
        </w:rPr>
        <w:t xml:space="preserve"> The Court</w:t>
      </w:r>
      <w:r w:rsidRPr="00732904">
        <w:rPr>
          <w:rFonts w:ascii="Arial Narrow" w:hAnsi="Arial Narrow"/>
        </w:rPr>
        <w:t xml:space="preserve"> found that the agreement between the two </w:t>
      </w:r>
      <w:r>
        <w:rPr>
          <w:rFonts w:ascii="Arial Narrow" w:hAnsi="Arial Narrow"/>
        </w:rPr>
        <w:t>G</w:t>
      </w:r>
      <w:r w:rsidRPr="00732904">
        <w:rPr>
          <w:rFonts w:ascii="Arial Narrow" w:hAnsi="Arial Narrow"/>
        </w:rPr>
        <w:t>overnments was specific and</w:t>
      </w:r>
      <w:r>
        <w:rPr>
          <w:rFonts w:ascii="Arial Narrow" w:hAnsi="Arial Narrow"/>
        </w:rPr>
        <w:t xml:space="preserve"> </w:t>
      </w:r>
      <w:r w:rsidRPr="00732904">
        <w:rPr>
          <w:rFonts w:ascii="Arial Narrow" w:hAnsi="Arial Narrow"/>
        </w:rPr>
        <w:t xml:space="preserve">comprehensive. The assurances were given in good faith by a </w:t>
      </w:r>
      <w:r>
        <w:rPr>
          <w:rFonts w:ascii="Arial Narrow" w:hAnsi="Arial Narrow"/>
        </w:rPr>
        <w:t>G</w:t>
      </w:r>
      <w:r w:rsidRPr="00732904">
        <w:rPr>
          <w:rFonts w:ascii="Arial Narrow" w:hAnsi="Arial Narrow"/>
        </w:rPr>
        <w:t>overnment whose</w:t>
      </w:r>
      <w:r>
        <w:rPr>
          <w:rFonts w:ascii="Arial Narrow" w:hAnsi="Arial Narrow"/>
        </w:rPr>
        <w:t xml:space="preserve"> </w:t>
      </w:r>
      <w:r w:rsidRPr="00732904">
        <w:rPr>
          <w:rFonts w:ascii="Arial Narrow" w:hAnsi="Arial Narrow"/>
        </w:rPr>
        <w:t>bilateral relations with the United Kingdom had, historically, been strong. In addition, the assurances would be monitored by an</w:t>
      </w:r>
      <w:r>
        <w:rPr>
          <w:rFonts w:ascii="Arial Narrow" w:hAnsi="Arial Narrow"/>
        </w:rPr>
        <w:t xml:space="preserve"> </w:t>
      </w:r>
      <w:r w:rsidRPr="00732904">
        <w:rPr>
          <w:rFonts w:ascii="Arial Narrow" w:hAnsi="Arial Narrow"/>
        </w:rPr>
        <w:t>independent human rights organisation in Jordan, which</w:t>
      </w:r>
      <w:r>
        <w:rPr>
          <w:rFonts w:ascii="Arial Narrow" w:hAnsi="Arial Narrow"/>
        </w:rPr>
        <w:t> </w:t>
      </w:r>
      <w:r w:rsidRPr="00732904">
        <w:rPr>
          <w:rFonts w:ascii="Arial Narrow" w:hAnsi="Arial Narrow"/>
        </w:rPr>
        <w:t>would have full acce</w:t>
      </w:r>
      <w:r>
        <w:rPr>
          <w:rFonts w:ascii="Arial Narrow" w:hAnsi="Arial Narrow"/>
        </w:rPr>
        <w:t xml:space="preserve">ss to the applicant </w:t>
      </w:r>
      <w:r w:rsidRPr="00732904">
        <w:rPr>
          <w:rFonts w:ascii="Arial Narrow" w:hAnsi="Arial Narrow"/>
        </w:rPr>
        <w:t>in prison.</w:t>
      </w:r>
      <w:r>
        <w:rPr>
          <w:rFonts w:ascii="Arial Narrow" w:hAnsi="Arial Narrow"/>
        </w:rPr>
        <w:t xml:space="preserve"> </w:t>
      </w:r>
      <w:r w:rsidRPr="00732904">
        <w:rPr>
          <w:rFonts w:ascii="Arial Narrow" w:hAnsi="Arial Narrow"/>
        </w:rPr>
        <w:t>The Court therefore held that there would be no risk of ill-treatment and no violation of Article 3 if the applicant were deported to Jordan.</w:t>
      </w:r>
    </w:p>
    <w:p w14:paraId="2238BED9" w14:textId="77777777" w:rsidR="00895297" w:rsidRPr="007B03F8" w:rsidRDefault="00895297" w:rsidP="006E58A3">
      <w:pPr>
        <w:widowControl w:val="0"/>
        <w:spacing w:line="480" w:lineRule="auto"/>
        <w:ind w:firstLine="567"/>
        <w:jc w:val="both"/>
        <w:rPr>
          <w:rFonts w:ascii="Arial Narrow" w:hAnsi="Arial Narrow"/>
        </w:rPr>
      </w:pPr>
    </w:p>
    <w:p w14:paraId="75FE3DB5" w14:textId="77777777" w:rsidR="00895297" w:rsidRPr="007B03F8" w:rsidRDefault="00895297" w:rsidP="006E58A3">
      <w:pPr>
        <w:widowControl w:val="0"/>
        <w:tabs>
          <w:tab w:val="left" w:pos="851"/>
        </w:tabs>
        <w:spacing w:line="480" w:lineRule="auto"/>
        <w:jc w:val="both"/>
        <w:rPr>
          <w:rFonts w:ascii="Arial Narrow" w:hAnsi="Arial Narrow"/>
          <w:b/>
          <w:i/>
        </w:rPr>
      </w:pPr>
      <w:r w:rsidRPr="007B03F8">
        <w:rPr>
          <w:rFonts w:ascii="Arial Narrow" w:hAnsi="Arial Narrow"/>
          <w:b/>
          <w:i/>
        </w:rPr>
        <w:tab/>
      </w:r>
      <w:r>
        <w:rPr>
          <w:rFonts w:ascii="Arial Narrow" w:hAnsi="Arial Narrow"/>
          <w:b/>
          <w:i/>
        </w:rPr>
        <w:t xml:space="preserve">Authorised limitations, restrictions or interferences </w:t>
      </w:r>
    </w:p>
    <w:p w14:paraId="35922F68" w14:textId="77777777" w:rsidR="00895297" w:rsidRPr="007B03F8" w:rsidRDefault="00895297" w:rsidP="006E58A3">
      <w:pPr>
        <w:widowControl w:val="0"/>
        <w:tabs>
          <w:tab w:val="left" w:pos="567"/>
        </w:tabs>
        <w:spacing w:line="480" w:lineRule="auto"/>
        <w:jc w:val="both"/>
        <w:rPr>
          <w:rFonts w:ascii="Arial Narrow" w:hAnsi="Arial Narrow"/>
        </w:rPr>
      </w:pPr>
    </w:p>
    <w:p w14:paraId="44317CC7" w14:textId="1D04CB56" w:rsidR="00895297" w:rsidRDefault="00895297" w:rsidP="006E58A3">
      <w:pPr>
        <w:widowControl w:val="0"/>
        <w:tabs>
          <w:tab w:val="left" w:pos="567"/>
        </w:tabs>
        <w:spacing w:line="480" w:lineRule="auto"/>
        <w:jc w:val="both"/>
        <w:rPr>
          <w:rFonts w:ascii="Arial Narrow" w:hAnsi="Arial Narrow"/>
        </w:rPr>
      </w:pPr>
      <w:r w:rsidRPr="007B03F8">
        <w:rPr>
          <w:rFonts w:ascii="Arial Narrow" w:hAnsi="Arial Narrow"/>
        </w:rPr>
        <w:tab/>
      </w:r>
      <w:r>
        <w:rPr>
          <w:rFonts w:ascii="Arial Narrow" w:hAnsi="Arial Narrow"/>
        </w:rPr>
        <w:t>3</w:t>
      </w:r>
      <w:r w:rsidR="008D4FE1">
        <w:rPr>
          <w:rFonts w:ascii="Arial Narrow" w:hAnsi="Arial Narrow"/>
        </w:rPr>
        <w:t>8</w:t>
      </w:r>
      <w:r w:rsidRPr="007B03F8">
        <w:rPr>
          <w:rFonts w:ascii="Arial Narrow" w:hAnsi="Arial Narrow"/>
        </w:rPr>
        <w:t>.  </w:t>
      </w:r>
      <w:r>
        <w:rPr>
          <w:rFonts w:ascii="Arial Narrow" w:hAnsi="Arial Narrow"/>
        </w:rPr>
        <w:t>All the other Convention rights may, under certain conditions, be subjected either to</w:t>
      </w:r>
      <w:r w:rsidR="006E58A3">
        <w:rPr>
          <w:rFonts w:ascii="Arial Narrow" w:hAnsi="Arial Narrow"/>
        </w:rPr>
        <w:t> </w:t>
      </w:r>
      <w:r>
        <w:rPr>
          <w:rFonts w:ascii="Arial Narrow" w:hAnsi="Arial Narrow"/>
        </w:rPr>
        <w:t>exceptions, limitations or restrictions, or to State interferences</w:t>
      </w:r>
      <w:r w:rsidRPr="007B03F8">
        <w:rPr>
          <w:rFonts w:ascii="Arial Narrow" w:hAnsi="Arial Narrow"/>
        </w:rPr>
        <w:t>.</w:t>
      </w:r>
    </w:p>
    <w:p w14:paraId="398CA986" w14:textId="77777777" w:rsidR="00895297" w:rsidRDefault="00895297" w:rsidP="00895297">
      <w:pPr>
        <w:tabs>
          <w:tab w:val="left" w:pos="567"/>
        </w:tabs>
        <w:spacing w:line="480" w:lineRule="auto"/>
        <w:jc w:val="both"/>
        <w:rPr>
          <w:rFonts w:ascii="Arial Narrow" w:hAnsi="Arial Narrow"/>
        </w:rPr>
      </w:pPr>
    </w:p>
    <w:p w14:paraId="64503B3D" w14:textId="69265A27" w:rsidR="00895297" w:rsidRPr="007B03F8" w:rsidRDefault="00895297" w:rsidP="00895297">
      <w:pPr>
        <w:tabs>
          <w:tab w:val="left" w:pos="567"/>
        </w:tabs>
        <w:spacing w:line="480" w:lineRule="auto"/>
        <w:jc w:val="both"/>
        <w:rPr>
          <w:rFonts w:ascii="Arial Narrow" w:hAnsi="Arial Narrow"/>
        </w:rPr>
      </w:pPr>
      <w:r>
        <w:rPr>
          <w:rFonts w:ascii="Arial Narrow" w:hAnsi="Arial Narrow"/>
        </w:rPr>
        <w:tab/>
        <w:t>3</w:t>
      </w:r>
      <w:r w:rsidR="008D4FE1">
        <w:rPr>
          <w:rFonts w:ascii="Arial Narrow" w:hAnsi="Arial Narrow"/>
        </w:rPr>
        <w:t>9</w:t>
      </w:r>
      <w:r>
        <w:rPr>
          <w:rFonts w:ascii="Arial Narrow" w:hAnsi="Arial Narrow"/>
        </w:rPr>
        <w:t xml:space="preserve">.  I will not address here Article </w:t>
      </w:r>
      <w:r w:rsidRPr="007B03F8">
        <w:rPr>
          <w:rFonts w:ascii="Arial Narrow" w:hAnsi="Arial Narrow"/>
        </w:rPr>
        <w:t xml:space="preserve">15 </w:t>
      </w:r>
      <w:r>
        <w:rPr>
          <w:rFonts w:ascii="Arial Narrow" w:hAnsi="Arial Narrow"/>
        </w:rPr>
        <w:t>of the</w:t>
      </w:r>
      <w:r w:rsidRPr="007B03F8">
        <w:rPr>
          <w:rFonts w:ascii="Arial Narrow" w:hAnsi="Arial Narrow"/>
        </w:rPr>
        <w:t xml:space="preserve"> Convention </w:t>
      </w:r>
      <w:r>
        <w:rPr>
          <w:rFonts w:ascii="Arial Narrow" w:hAnsi="Arial Narrow"/>
        </w:rPr>
        <w:t xml:space="preserve">which </w:t>
      </w:r>
      <w:r w:rsidRPr="008D1CB3">
        <w:rPr>
          <w:rFonts w:ascii="Arial Narrow" w:hAnsi="Arial Narrow"/>
        </w:rPr>
        <w:t xml:space="preserve">affords to the </w:t>
      </w:r>
      <w:r>
        <w:rPr>
          <w:rFonts w:ascii="Arial Narrow" w:hAnsi="Arial Narrow"/>
        </w:rPr>
        <w:t>G</w:t>
      </w:r>
      <w:r w:rsidRPr="008D1CB3">
        <w:rPr>
          <w:rFonts w:ascii="Arial Narrow" w:hAnsi="Arial Narrow"/>
        </w:rPr>
        <w:t xml:space="preserve">overnments of the </w:t>
      </w:r>
      <w:r>
        <w:rPr>
          <w:rFonts w:ascii="Arial Narrow" w:hAnsi="Arial Narrow"/>
        </w:rPr>
        <w:t>S</w:t>
      </w:r>
      <w:r w:rsidRPr="008D1CB3">
        <w:rPr>
          <w:rFonts w:ascii="Arial Narrow" w:hAnsi="Arial Narrow"/>
        </w:rPr>
        <w:t>tates parties, in exceptional circumstances,</w:t>
      </w:r>
      <w:r>
        <w:rPr>
          <w:rFonts w:ascii="Arial Narrow" w:hAnsi="Arial Narrow"/>
        </w:rPr>
        <w:t xml:space="preserve"> that is to say in time of war or other public emergency threatening the life of the nation,</w:t>
      </w:r>
      <w:r w:rsidRPr="008D1CB3">
        <w:rPr>
          <w:rFonts w:ascii="Arial Narrow" w:hAnsi="Arial Narrow"/>
        </w:rPr>
        <w:t xml:space="preserve"> the possibility of derogating, in a temporary, limited and supervised manner, from their obligation to secure certain rights and freedoms under the Convention</w:t>
      </w:r>
      <w:r>
        <w:rPr>
          <w:rFonts w:ascii="Arial Narrow" w:hAnsi="Arial Narrow"/>
        </w:rPr>
        <w:t>, to the extent strictly required by the exigencies of the situation</w:t>
      </w:r>
      <w:r w:rsidRPr="008D1CB3">
        <w:rPr>
          <w:rFonts w:ascii="Arial Narrow" w:hAnsi="Arial Narrow"/>
        </w:rPr>
        <w:t>.</w:t>
      </w:r>
      <w:r>
        <w:rPr>
          <w:rFonts w:ascii="Arial Narrow" w:hAnsi="Arial Narrow"/>
        </w:rPr>
        <w:t xml:space="preserve"> This provision which, in some way, puts the Convention</w:t>
      </w:r>
      <w:r w:rsidRPr="00BD7C03">
        <w:rPr>
          <w:rFonts w:ascii="Arial Narrow" w:hAnsi="Arial Narrow"/>
        </w:rPr>
        <w:t xml:space="preserve"> </w:t>
      </w:r>
      <w:r>
        <w:rPr>
          <w:rFonts w:ascii="Arial Narrow" w:hAnsi="Arial Narrow"/>
        </w:rPr>
        <w:t>rights “</w:t>
      </w:r>
      <w:r w:rsidRPr="00BD7C03">
        <w:rPr>
          <w:rFonts w:ascii="Arial Narrow" w:hAnsi="Arial Narrow"/>
        </w:rPr>
        <w:t>on the back burner</w:t>
      </w:r>
      <w:r>
        <w:rPr>
          <w:rFonts w:ascii="Arial Narrow" w:hAnsi="Arial Narrow"/>
        </w:rPr>
        <w:t>”</w:t>
      </w:r>
      <w:r w:rsidR="00DB6C7C">
        <w:rPr>
          <w:rFonts w:ascii="Arial Narrow" w:hAnsi="Arial Narrow"/>
        </w:rPr>
        <w:t xml:space="preserve"> (</w:t>
      </w:r>
      <w:r w:rsidR="00DB6C7C" w:rsidRPr="00DB6C7C">
        <w:rPr>
          <w:rFonts w:ascii="Arial Narrow" w:hAnsi="Arial Narrow"/>
          <w:i/>
        </w:rPr>
        <w:t>en veilleuse</w:t>
      </w:r>
      <w:r w:rsidR="00DB6C7C">
        <w:rPr>
          <w:rFonts w:ascii="Arial Narrow" w:hAnsi="Arial Narrow"/>
        </w:rPr>
        <w:t>)</w:t>
      </w:r>
      <w:r>
        <w:rPr>
          <w:rFonts w:ascii="Arial Narrow" w:hAnsi="Arial Narrow"/>
        </w:rPr>
        <w:t xml:space="preserve">, is governed by very strict </w:t>
      </w:r>
      <w:r w:rsidRPr="00BD7C03">
        <w:rPr>
          <w:rFonts w:ascii="Arial Narrow" w:hAnsi="Arial Narrow"/>
        </w:rPr>
        <w:t>procedural and substantive conditions</w:t>
      </w:r>
      <w:r>
        <w:rPr>
          <w:rFonts w:ascii="Arial Narrow" w:hAnsi="Arial Narrow"/>
        </w:rPr>
        <w:t>, which are intended to prevent abuses. Its use is relatively limited since, as shown by Athanasia</w:t>
      </w:r>
      <w:r w:rsidRPr="007B03F8">
        <w:rPr>
          <w:rFonts w:ascii="Arial Narrow" w:hAnsi="Arial Narrow"/>
        </w:rPr>
        <w:t xml:space="preserve"> Petropoulou,</w:t>
      </w:r>
      <w:r>
        <w:rPr>
          <w:rFonts w:ascii="Arial Narrow" w:hAnsi="Arial Narrow"/>
        </w:rPr>
        <w:t xml:space="preserve"> the Convention system allows States sufficient</w:t>
      </w:r>
      <w:r w:rsidRPr="007B03F8">
        <w:rPr>
          <w:rFonts w:ascii="Arial Narrow" w:hAnsi="Arial Narrow"/>
        </w:rPr>
        <w:t xml:space="preserve"> </w:t>
      </w:r>
      <w:r>
        <w:rPr>
          <w:rFonts w:ascii="Arial Narrow" w:hAnsi="Arial Narrow"/>
        </w:rPr>
        <w:t xml:space="preserve">flexibility to </w:t>
      </w:r>
      <w:r w:rsidRPr="00CB1796">
        <w:rPr>
          <w:rFonts w:ascii="Arial Narrow" w:hAnsi="Arial Narrow"/>
        </w:rPr>
        <w:t>respond effectively to the terrorist threat</w:t>
      </w:r>
      <w:r w:rsidRPr="007B03F8">
        <w:rPr>
          <w:rFonts w:ascii="Arial Narrow" w:hAnsi="Arial Narrow"/>
        </w:rPr>
        <w:t xml:space="preserve"> </w:t>
      </w:r>
      <w:r>
        <w:rPr>
          <w:rFonts w:ascii="Arial Narrow" w:hAnsi="Arial Narrow"/>
        </w:rPr>
        <w:t>without resorting to the de</w:t>
      </w:r>
      <w:r w:rsidRPr="007B03F8">
        <w:rPr>
          <w:rFonts w:ascii="Arial Narrow" w:hAnsi="Arial Narrow"/>
        </w:rPr>
        <w:t xml:space="preserve">rogation </w:t>
      </w:r>
      <w:r>
        <w:rPr>
          <w:rFonts w:ascii="Arial Narrow" w:hAnsi="Arial Narrow"/>
        </w:rPr>
        <w:t>provided for by A</w:t>
      </w:r>
      <w:r w:rsidRPr="007B03F8">
        <w:rPr>
          <w:rFonts w:ascii="Arial Narrow" w:hAnsi="Arial Narrow"/>
        </w:rPr>
        <w:t>rticle 15</w:t>
      </w:r>
      <w:r w:rsidRPr="007B03F8">
        <w:rPr>
          <w:rStyle w:val="FootnoteReference"/>
          <w:rFonts w:ascii="Arial Narrow" w:eastAsiaTheme="minorEastAsia" w:hAnsi="Arial Narrow"/>
        </w:rPr>
        <w:footnoteReference w:id="46"/>
      </w:r>
      <w:r w:rsidRPr="007B03F8">
        <w:rPr>
          <w:rFonts w:ascii="Arial Narrow" w:hAnsi="Arial Narrow"/>
        </w:rPr>
        <w:t xml:space="preserve">. </w:t>
      </w:r>
      <w:r>
        <w:rPr>
          <w:rFonts w:ascii="Arial Narrow" w:hAnsi="Arial Narrow"/>
        </w:rPr>
        <w:t>I shall therefore address two rights, among others, which are most likely to be affected by counter-terrorism measures</w:t>
      </w:r>
      <w:r w:rsidRPr="007B03F8">
        <w:rPr>
          <w:rFonts w:ascii="Arial Narrow" w:hAnsi="Arial Narrow"/>
        </w:rPr>
        <w:t xml:space="preserve">: </w:t>
      </w:r>
      <w:r>
        <w:rPr>
          <w:rFonts w:ascii="Arial Narrow" w:hAnsi="Arial Narrow"/>
        </w:rPr>
        <w:t>the right to a fair trial and the right to respect for private life</w:t>
      </w:r>
      <w:r w:rsidRPr="007B03F8">
        <w:rPr>
          <w:rFonts w:ascii="Arial Narrow" w:hAnsi="Arial Narrow"/>
        </w:rPr>
        <w:t>.</w:t>
      </w:r>
    </w:p>
    <w:p w14:paraId="74FD90E3" w14:textId="77777777" w:rsidR="00895297" w:rsidRPr="007B03F8" w:rsidRDefault="00895297" w:rsidP="00895297">
      <w:pPr>
        <w:tabs>
          <w:tab w:val="left" w:pos="567"/>
        </w:tabs>
        <w:spacing w:line="480" w:lineRule="auto"/>
        <w:jc w:val="both"/>
        <w:rPr>
          <w:rFonts w:ascii="Arial Narrow" w:hAnsi="Arial Narrow"/>
        </w:rPr>
      </w:pPr>
    </w:p>
    <w:p w14:paraId="3EAC4CBA" w14:textId="77777777" w:rsidR="00895297" w:rsidRPr="007B03F8" w:rsidRDefault="00895297" w:rsidP="00895297">
      <w:pPr>
        <w:keepNext/>
        <w:tabs>
          <w:tab w:val="left" w:pos="993"/>
        </w:tabs>
        <w:spacing w:line="480" w:lineRule="auto"/>
        <w:jc w:val="both"/>
        <w:rPr>
          <w:rFonts w:ascii="Arial Narrow" w:hAnsi="Arial Narrow"/>
          <w:i/>
        </w:rPr>
      </w:pPr>
      <w:r w:rsidRPr="007B03F8">
        <w:rPr>
          <w:rFonts w:ascii="Arial Narrow" w:hAnsi="Arial Narrow"/>
          <w:i/>
        </w:rPr>
        <w:tab/>
      </w:r>
      <w:r>
        <w:rPr>
          <w:rFonts w:ascii="Arial Narrow" w:hAnsi="Arial Narrow"/>
          <w:i/>
        </w:rPr>
        <w:t>The right to a fair trial</w:t>
      </w:r>
    </w:p>
    <w:p w14:paraId="73084393" w14:textId="77777777" w:rsidR="00895297" w:rsidRPr="007B03F8" w:rsidRDefault="00895297" w:rsidP="00895297">
      <w:pPr>
        <w:tabs>
          <w:tab w:val="left" w:pos="567"/>
        </w:tabs>
        <w:spacing w:line="480" w:lineRule="auto"/>
        <w:jc w:val="both"/>
        <w:rPr>
          <w:rFonts w:ascii="Arial Narrow" w:hAnsi="Arial Narrow"/>
        </w:rPr>
      </w:pPr>
    </w:p>
    <w:p w14:paraId="1F154D99" w14:textId="25C58B15" w:rsidR="00895297" w:rsidRPr="007B03F8" w:rsidRDefault="00895297" w:rsidP="00895297">
      <w:pPr>
        <w:tabs>
          <w:tab w:val="left" w:pos="567"/>
          <w:tab w:val="left" w:pos="851"/>
          <w:tab w:val="left" w:pos="1134"/>
        </w:tabs>
        <w:spacing w:line="480" w:lineRule="auto"/>
        <w:jc w:val="both"/>
        <w:rPr>
          <w:rFonts w:ascii="Arial Narrow" w:hAnsi="Arial Narrow"/>
        </w:rPr>
      </w:pPr>
      <w:r w:rsidRPr="007B03F8">
        <w:rPr>
          <w:rFonts w:ascii="Arial Narrow" w:hAnsi="Arial Narrow"/>
        </w:rPr>
        <w:tab/>
      </w:r>
      <w:r w:rsidR="008D4FE1">
        <w:rPr>
          <w:rFonts w:ascii="Arial Narrow" w:hAnsi="Arial Narrow"/>
        </w:rPr>
        <w:t>40</w:t>
      </w:r>
      <w:r w:rsidRPr="007B03F8">
        <w:rPr>
          <w:rFonts w:ascii="Arial Narrow" w:hAnsi="Arial Narrow"/>
        </w:rPr>
        <w:t>.  </w:t>
      </w:r>
      <w:r>
        <w:rPr>
          <w:rFonts w:ascii="Arial Narrow" w:hAnsi="Arial Narrow"/>
        </w:rPr>
        <w:t>A</w:t>
      </w:r>
      <w:r w:rsidRPr="007B03F8">
        <w:rPr>
          <w:rFonts w:ascii="Arial Narrow" w:hAnsi="Arial Narrow"/>
        </w:rPr>
        <w:t xml:space="preserve">rticle 6 </w:t>
      </w:r>
      <w:r>
        <w:rPr>
          <w:rFonts w:ascii="Arial Narrow" w:hAnsi="Arial Narrow"/>
        </w:rPr>
        <w:t>of the Convention</w:t>
      </w:r>
      <w:r w:rsidRPr="007B03F8">
        <w:rPr>
          <w:rFonts w:ascii="Arial Narrow" w:hAnsi="Arial Narrow"/>
        </w:rPr>
        <w:t xml:space="preserve"> </w:t>
      </w:r>
      <w:r w:rsidRPr="00CB1796">
        <w:rPr>
          <w:rFonts w:ascii="Arial Narrow" w:hAnsi="Arial Narrow"/>
        </w:rPr>
        <w:t>guarantees the right to a fair tria</w:t>
      </w:r>
      <w:r>
        <w:rPr>
          <w:rFonts w:ascii="Arial Narrow" w:hAnsi="Arial Narrow"/>
        </w:rPr>
        <w:t>l</w:t>
      </w:r>
      <w:r w:rsidRPr="007B03F8">
        <w:rPr>
          <w:rFonts w:ascii="Arial Narrow" w:hAnsi="Arial Narrow"/>
        </w:rPr>
        <w:t>.</w:t>
      </w:r>
      <w:r>
        <w:rPr>
          <w:rFonts w:ascii="Arial Narrow" w:hAnsi="Arial Narrow"/>
        </w:rPr>
        <w:t xml:space="preserve"> Counter-terrorism measures</w:t>
      </w:r>
      <w:r w:rsidRPr="007B03F8">
        <w:rPr>
          <w:rFonts w:ascii="Arial Narrow" w:hAnsi="Arial Narrow"/>
        </w:rPr>
        <w:t xml:space="preserve"> </w:t>
      </w:r>
      <w:r>
        <w:rPr>
          <w:rFonts w:ascii="Arial Narrow" w:hAnsi="Arial Narrow"/>
        </w:rPr>
        <w:t>are a major test for many aspects of this right, such as for instance the right to silence</w:t>
      </w:r>
      <w:r w:rsidRPr="007B03F8">
        <w:rPr>
          <w:rStyle w:val="FootnoteReference"/>
          <w:rFonts w:ascii="Arial Narrow" w:hAnsi="Arial Narrow"/>
        </w:rPr>
        <w:footnoteReference w:id="47"/>
      </w:r>
      <w:r w:rsidRPr="007B03F8">
        <w:rPr>
          <w:rFonts w:ascii="Arial Narrow" w:hAnsi="Arial Narrow"/>
        </w:rPr>
        <w:t xml:space="preserve">, </w:t>
      </w:r>
      <w:r>
        <w:rPr>
          <w:rFonts w:ascii="Arial Narrow" w:hAnsi="Arial Narrow"/>
        </w:rPr>
        <w:t>the presumption of innocence or the rights of the defence</w:t>
      </w:r>
      <w:r w:rsidRPr="007B03F8">
        <w:rPr>
          <w:rStyle w:val="FootnoteReference"/>
          <w:rFonts w:ascii="Arial Narrow" w:hAnsi="Arial Narrow"/>
        </w:rPr>
        <w:footnoteReference w:id="48"/>
      </w:r>
      <w:r w:rsidRPr="007B03F8">
        <w:rPr>
          <w:rFonts w:ascii="Arial Narrow" w:hAnsi="Arial Narrow"/>
        </w:rPr>
        <w:t xml:space="preserve">. </w:t>
      </w:r>
      <w:r>
        <w:rPr>
          <w:rFonts w:ascii="Arial Narrow" w:hAnsi="Arial Narrow"/>
        </w:rPr>
        <w:t>In addition</w:t>
      </w:r>
      <w:r w:rsidRPr="007B03F8">
        <w:rPr>
          <w:rFonts w:ascii="Arial Narrow" w:hAnsi="Arial Narrow"/>
        </w:rPr>
        <w:t xml:space="preserve">, </w:t>
      </w:r>
      <w:r>
        <w:rPr>
          <w:rFonts w:ascii="Arial Narrow" w:hAnsi="Arial Narrow"/>
        </w:rPr>
        <w:t>the means employed</w:t>
      </w:r>
      <w:r w:rsidRPr="007B03F8">
        <w:rPr>
          <w:rFonts w:ascii="Arial Narrow" w:hAnsi="Arial Narrow"/>
        </w:rPr>
        <w:t>,</w:t>
      </w:r>
      <w:r>
        <w:rPr>
          <w:rFonts w:ascii="Arial Narrow" w:hAnsi="Arial Narrow"/>
        </w:rPr>
        <w:t xml:space="preserve"> such as</w:t>
      </w:r>
      <w:r w:rsidRPr="007B03F8">
        <w:rPr>
          <w:rFonts w:ascii="Arial Narrow" w:hAnsi="Arial Narrow"/>
        </w:rPr>
        <w:t xml:space="preserve"> </w:t>
      </w:r>
      <w:r w:rsidRPr="001F6051">
        <w:rPr>
          <w:rFonts w:ascii="Arial Narrow" w:hAnsi="Arial Narrow"/>
        </w:rPr>
        <w:t>anonymous witness testimony</w:t>
      </w:r>
      <w:r w:rsidRPr="007B03F8">
        <w:rPr>
          <w:rFonts w:ascii="Arial Narrow" w:hAnsi="Arial Narrow"/>
        </w:rPr>
        <w:t xml:space="preserve">, </w:t>
      </w:r>
      <w:r w:rsidRPr="001F6051">
        <w:rPr>
          <w:rFonts w:ascii="Arial Narrow" w:hAnsi="Arial Narrow"/>
        </w:rPr>
        <w:t>undercover techniques</w:t>
      </w:r>
      <w:r w:rsidRPr="007B03F8">
        <w:rPr>
          <w:rFonts w:ascii="Arial Narrow" w:hAnsi="Arial Narrow"/>
        </w:rPr>
        <w:t xml:space="preserve">, </w:t>
      </w:r>
      <w:r>
        <w:rPr>
          <w:rFonts w:ascii="Arial Narrow" w:hAnsi="Arial Narrow"/>
        </w:rPr>
        <w:t>the use of informers</w:t>
      </w:r>
      <w:r w:rsidRPr="007B03F8">
        <w:rPr>
          <w:rFonts w:ascii="Arial Narrow" w:hAnsi="Arial Narrow"/>
        </w:rPr>
        <w:t xml:space="preserve">, </w:t>
      </w:r>
      <w:r w:rsidRPr="001F6051">
        <w:rPr>
          <w:rFonts w:ascii="Arial Narrow" w:hAnsi="Arial Narrow"/>
        </w:rPr>
        <w:t xml:space="preserve">special methods of investigation </w:t>
      </w:r>
      <w:r>
        <w:rPr>
          <w:rFonts w:ascii="Arial Narrow" w:hAnsi="Arial Narrow"/>
        </w:rPr>
        <w:t xml:space="preserve">or </w:t>
      </w:r>
      <w:r w:rsidRPr="001F6051">
        <w:rPr>
          <w:rFonts w:ascii="Arial Narrow" w:hAnsi="Arial Narrow"/>
        </w:rPr>
        <w:t xml:space="preserve">trials </w:t>
      </w:r>
      <w:r>
        <w:rPr>
          <w:rFonts w:ascii="Arial Narrow" w:hAnsi="Arial Narrow"/>
        </w:rPr>
        <w:t xml:space="preserve">held before </w:t>
      </w:r>
      <w:r w:rsidRPr="001F6051">
        <w:rPr>
          <w:rFonts w:ascii="Arial Narrow" w:hAnsi="Arial Narrow"/>
        </w:rPr>
        <w:t>special courts</w:t>
      </w:r>
      <w:r w:rsidRPr="007B03F8">
        <w:rPr>
          <w:rStyle w:val="FootnoteReference"/>
          <w:rFonts w:ascii="Arial Narrow" w:hAnsi="Arial Narrow"/>
        </w:rPr>
        <w:footnoteReference w:id="49"/>
      </w:r>
      <w:r>
        <w:rPr>
          <w:rFonts w:ascii="Arial Narrow" w:hAnsi="Arial Narrow"/>
        </w:rPr>
        <w:t xml:space="preserve"> create as many situations where there is a risk</w:t>
      </w:r>
      <w:r w:rsidRPr="007B03F8">
        <w:rPr>
          <w:rFonts w:ascii="Arial Narrow" w:hAnsi="Arial Narrow"/>
        </w:rPr>
        <w:t>.</w:t>
      </w:r>
      <w:r>
        <w:rPr>
          <w:rFonts w:ascii="Arial Narrow" w:hAnsi="Arial Narrow"/>
        </w:rPr>
        <w:t xml:space="preserve"> The search for </w:t>
      </w:r>
      <w:r w:rsidRPr="001F6051">
        <w:rPr>
          <w:rFonts w:ascii="Arial Narrow" w:hAnsi="Arial Narrow"/>
        </w:rPr>
        <w:t>immediate effectiveness</w:t>
      </w:r>
      <w:r>
        <w:rPr>
          <w:rFonts w:ascii="Arial Narrow" w:hAnsi="Arial Narrow"/>
        </w:rPr>
        <w:t xml:space="preserve"> </w:t>
      </w:r>
      <w:r w:rsidRPr="007B03F8">
        <w:rPr>
          <w:rFonts w:ascii="Arial Narrow" w:hAnsi="Arial Narrow"/>
        </w:rPr>
        <w:t xml:space="preserve">– </w:t>
      </w:r>
      <w:r>
        <w:rPr>
          <w:rFonts w:ascii="Arial Narrow" w:hAnsi="Arial Narrow"/>
        </w:rPr>
        <w:t>which is not easy matter</w:t>
      </w:r>
      <w:r w:rsidRPr="007B03F8">
        <w:rPr>
          <w:rFonts w:ascii="Arial Narrow" w:hAnsi="Arial Narrow"/>
        </w:rPr>
        <w:t xml:space="preserve"> – </w:t>
      </w:r>
      <w:r>
        <w:rPr>
          <w:rFonts w:ascii="Arial Narrow" w:hAnsi="Arial Narrow"/>
        </w:rPr>
        <w:t>may pave the way for abuses and arbitrariness</w:t>
      </w:r>
      <w:r w:rsidRPr="007B03F8">
        <w:rPr>
          <w:rFonts w:ascii="Arial Narrow" w:hAnsi="Arial Narrow"/>
        </w:rPr>
        <w:t xml:space="preserve">. </w:t>
      </w:r>
      <w:r>
        <w:rPr>
          <w:rFonts w:ascii="Arial Narrow" w:hAnsi="Arial Narrow"/>
        </w:rPr>
        <w:t>This is the</w:t>
      </w:r>
      <w:r w:rsidR="006E58A3">
        <w:rPr>
          <w:rFonts w:ascii="Arial Narrow" w:hAnsi="Arial Narrow"/>
        </w:rPr>
        <w:t> </w:t>
      </w:r>
      <w:r>
        <w:rPr>
          <w:rFonts w:ascii="Arial Narrow" w:hAnsi="Arial Narrow"/>
        </w:rPr>
        <w:t>reason why the Convention</w:t>
      </w:r>
      <w:r w:rsidRPr="007B03F8">
        <w:rPr>
          <w:rFonts w:ascii="Arial Narrow" w:hAnsi="Arial Narrow"/>
        </w:rPr>
        <w:t xml:space="preserve"> </w:t>
      </w:r>
      <w:r w:rsidRPr="00153066">
        <w:rPr>
          <w:rFonts w:ascii="Arial Narrow" w:hAnsi="Arial Narrow"/>
        </w:rPr>
        <w:t>emphasi</w:t>
      </w:r>
      <w:r>
        <w:rPr>
          <w:rFonts w:ascii="Arial Narrow" w:hAnsi="Arial Narrow"/>
        </w:rPr>
        <w:t>ses</w:t>
      </w:r>
      <w:r w:rsidRPr="00153066">
        <w:rPr>
          <w:rFonts w:ascii="Arial Narrow" w:hAnsi="Arial Narrow"/>
        </w:rPr>
        <w:t xml:space="preserve"> the </w:t>
      </w:r>
      <w:r>
        <w:rPr>
          <w:rFonts w:ascii="Arial Narrow" w:hAnsi="Arial Narrow"/>
        </w:rPr>
        <w:t>pre-eminence of the law and the role of the judge in the protection of human rights</w:t>
      </w:r>
      <w:r w:rsidRPr="007B03F8">
        <w:rPr>
          <w:rStyle w:val="FootnoteReference"/>
          <w:rFonts w:ascii="Arial Narrow" w:hAnsi="Arial Narrow"/>
        </w:rPr>
        <w:footnoteReference w:id="50"/>
      </w:r>
      <w:r w:rsidRPr="007B03F8">
        <w:rPr>
          <w:rFonts w:ascii="Arial Narrow" w:hAnsi="Arial Narrow"/>
        </w:rPr>
        <w:t xml:space="preserve">. </w:t>
      </w:r>
    </w:p>
    <w:p w14:paraId="0F4EAF57" w14:textId="77777777" w:rsidR="00895297" w:rsidRPr="007B03F8" w:rsidRDefault="00895297" w:rsidP="00895297">
      <w:pPr>
        <w:spacing w:line="480" w:lineRule="auto"/>
        <w:ind w:firstLine="567"/>
        <w:jc w:val="both"/>
        <w:rPr>
          <w:rFonts w:ascii="Arial Narrow" w:hAnsi="Arial Narrow"/>
        </w:rPr>
      </w:pPr>
    </w:p>
    <w:p w14:paraId="58A95E64" w14:textId="539ADA0C" w:rsidR="00895297" w:rsidRDefault="008D4FE1" w:rsidP="00895297">
      <w:pPr>
        <w:spacing w:line="480" w:lineRule="auto"/>
        <w:ind w:firstLine="567"/>
        <w:jc w:val="both"/>
        <w:rPr>
          <w:rFonts w:ascii="Arial Narrow" w:hAnsi="Arial Narrow"/>
        </w:rPr>
      </w:pPr>
      <w:r>
        <w:rPr>
          <w:rFonts w:ascii="Arial Narrow" w:hAnsi="Arial Narrow"/>
        </w:rPr>
        <w:t>41</w:t>
      </w:r>
      <w:r w:rsidR="00895297" w:rsidRPr="007B03F8">
        <w:rPr>
          <w:rFonts w:ascii="Arial Narrow" w:hAnsi="Arial Narrow"/>
        </w:rPr>
        <w:t>.  </w:t>
      </w:r>
      <w:r w:rsidR="00895297">
        <w:rPr>
          <w:rFonts w:ascii="Arial Narrow" w:hAnsi="Arial Narrow"/>
        </w:rPr>
        <w:t>In the</w:t>
      </w:r>
      <w:r w:rsidR="00895297" w:rsidRPr="007B03F8">
        <w:rPr>
          <w:rFonts w:ascii="Arial Narrow" w:hAnsi="Arial Narrow"/>
        </w:rPr>
        <w:t xml:space="preserve"> </w:t>
      </w:r>
      <w:r w:rsidR="00895297" w:rsidRPr="007B03F8">
        <w:rPr>
          <w:rFonts w:ascii="Arial Narrow" w:hAnsi="Arial Narrow"/>
          <w:i/>
        </w:rPr>
        <w:t xml:space="preserve">Othman (Abu Qatada) </w:t>
      </w:r>
      <w:r w:rsidR="00895297">
        <w:rPr>
          <w:rFonts w:ascii="Arial Narrow" w:hAnsi="Arial Narrow"/>
          <w:i/>
        </w:rPr>
        <w:t>v</w:t>
      </w:r>
      <w:r w:rsidR="00895297" w:rsidRPr="007B03F8">
        <w:rPr>
          <w:rFonts w:ascii="Arial Narrow" w:hAnsi="Arial Narrow"/>
          <w:i/>
        </w:rPr>
        <w:t xml:space="preserve">. </w:t>
      </w:r>
      <w:r w:rsidR="00895297">
        <w:rPr>
          <w:rFonts w:ascii="Arial Narrow" w:hAnsi="Arial Narrow"/>
          <w:i/>
        </w:rPr>
        <w:t>the United Kingdom</w:t>
      </w:r>
      <w:r w:rsidR="00895297" w:rsidRPr="007B03F8">
        <w:rPr>
          <w:rFonts w:ascii="Arial Narrow" w:hAnsi="Arial Narrow"/>
        </w:rPr>
        <w:t xml:space="preserve"> </w:t>
      </w:r>
      <w:r w:rsidR="00895297">
        <w:rPr>
          <w:rFonts w:ascii="Arial Narrow" w:hAnsi="Arial Narrow"/>
        </w:rPr>
        <w:t>judgment of 17 January</w:t>
      </w:r>
      <w:r w:rsidR="00895297" w:rsidRPr="007B03F8">
        <w:rPr>
          <w:rFonts w:ascii="Arial Narrow" w:hAnsi="Arial Narrow"/>
        </w:rPr>
        <w:t xml:space="preserve"> 2012 </w:t>
      </w:r>
      <w:r w:rsidR="00895297">
        <w:rPr>
          <w:rFonts w:ascii="Arial Narrow" w:hAnsi="Arial Narrow"/>
        </w:rPr>
        <w:t xml:space="preserve">which I have already mentioned earlier with regard to Article </w:t>
      </w:r>
      <w:r w:rsidR="00895297" w:rsidRPr="007B03F8">
        <w:rPr>
          <w:rFonts w:ascii="Arial Narrow" w:hAnsi="Arial Narrow"/>
        </w:rPr>
        <w:t xml:space="preserve">3 </w:t>
      </w:r>
      <w:r w:rsidR="00895297">
        <w:rPr>
          <w:rFonts w:ascii="Arial Narrow" w:hAnsi="Arial Narrow"/>
        </w:rPr>
        <w:t>of the</w:t>
      </w:r>
      <w:r w:rsidR="00895297" w:rsidRPr="007B03F8">
        <w:rPr>
          <w:rFonts w:ascii="Arial Narrow" w:hAnsi="Arial Narrow"/>
        </w:rPr>
        <w:t xml:space="preserve"> Convention, </w:t>
      </w:r>
      <w:r w:rsidR="00895297">
        <w:rPr>
          <w:rFonts w:ascii="Arial Narrow" w:hAnsi="Arial Narrow"/>
        </w:rPr>
        <w:t xml:space="preserve">the second question before the Court was that of whether the applicant would be at real </w:t>
      </w:r>
      <w:r w:rsidR="00895297" w:rsidRPr="000C4E5A">
        <w:rPr>
          <w:rFonts w:ascii="Arial Narrow" w:hAnsi="Arial Narrow"/>
        </w:rPr>
        <w:t xml:space="preserve">risk </w:t>
      </w:r>
      <w:r w:rsidR="00895297">
        <w:rPr>
          <w:rFonts w:ascii="Arial Narrow" w:hAnsi="Arial Narrow"/>
        </w:rPr>
        <w:t xml:space="preserve">of </w:t>
      </w:r>
      <w:r w:rsidR="00895297" w:rsidRPr="000C4E5A">
        <w:rPr>
          <w:rFonts w:ascii="Arial Narrow" w:hAnsi="Arial Narrow"/>
        </w:rPr>
        <w:t xml:space="preserve">a flagrantly unfair trial </w:t>
      </w:r>
      <w:r w:rsidR="00895297">
        <w:rPr>
          <w:rFonts w:ascii="Arial Narrow" w:hAnsi="Arial Narrow"/>
        </w:rPr>
        <w:t>if he were deported to Jordan, where he was wanted on terrorism charges</w:t>
      </w:r>
      <w:r w:rsidR="00895297" w:rsidRPr="007B03F8">
        <w:rPr>
          <w:rFonts w:ascii="Arial Narrow" w:hAnsi="Arial Narrow"/>
        </w:rPr>
        <w:t xml:space="preserve">. </w:t>
      </w:r>
      <w:r w:rsidR="00895297" w:rsidRPr="00BC6BE9">
        <w:rPr>
          <w:rFonts w:ascii="Arial Narrow" w:hAnsi="Arial Narrow"/>
        </w:rPr>
        <w:t>The European Court agreed with the Court of Appeal that the use of evidence</w:t>
      </w:r>
      <w:r w:rsidR="00895297">
        <w:rPr>
          <w:rFonts w:ascii="Arial Narrow" w:hAnsi="Arial Narrow"/>
        </w:rPr>
        <w:t xml:space="preserve"> </w:t>
      </w:r>
      <w:r w:rsidR="00895297" w:rsidRPr="00BC6BE9">
        <w:rPr>
          <w:rFonts w:ascii="Arial Narrow" w:hAnsi="Arial Narrow"/>
        </w:rPr>
        <w:t>obtained by torture during a criminal trial would amount to a flagrant denial of justice</w:t>
      </w:r>
      <w:r w:rsidR="00895297">
        <w:rPr>
          <w:rFonts w:ascii="Arial Narrow" w:hAnsi="Arial Narrow"/>
        </w:rPr>
        <w:t>, in violation of A</w:t>
      </w:r>
      <w:r w:rsidR="00895297" w:rsidRPr="007B03F8">
        <w:rPr>
          <w:rFonts w:ascii="Arial Narrow" w:hAnsi="Arial Narrow"/>
        </w:rPr>
        <w:t xml:space="preserve">rticle 6 </w:t>
      </w:r>
      <w:r w:rsidR="00895297">
        <w:rPr>
          <w:rFonts w:ascii="Arial Narrow" w:hAnsi="Arial Narrow"/>
        </w:rPr>
        <w:t>of the</w:t>
      </w:r>
      <w:r w:rsidR="00895297" w:rsidRPr="007B03F8">
        <w:rPr>
          <w:rFonts w:ascii="Arial Narrow" w:hAnsi="Arial Narrow"/>
        </w:rPr>
        <w:t xml:space="preserve"> Convention</w:t>
      </w:r>
      <w:r w:rsidR="00895297" w:rsidRPr="007B03F8">
        <w:rPr>
          <w:rStyle w:val="FootnoteReference"/>
          <w:rFonts w:ascii="Arial Narrow" w:hAnsi="Arial Narrow"/>
        </w:rPr>
        <w:footnoteReference w:id="51"/>
      </w:r>
      <w:r w:rsidR="00895297" w:rsidRPr="00BC6BE9">
        <w:rPr>
          <w:rFonts w:ascii="Arial Narrow" w:hAnsi="Arial Narrow"/>
        </w:rPr>
        <w:t>.</w:t>
      </w:r>
      <w:r w:rsidR="00895297">
        <w:rPr>
          <w:rFonts w:ascii="Arial Narrow" w:hAnsi="Arial Narrow"/>
        </w:rPr>
        <w:t xml:space="preserve"> </w:t>
      </w:r>
      <w:r w:rsidR="00895297" w:rsidRPr="00BC6BE9">
        <w:rPr>
          <w:rFonts w:ascii="Arial Narrow" w:hAnsi="Arial Narrow"/>
        </w:rPr>
        <w:t>Allowing a</w:t>
      </w:r>
      <w:r w:rsidR="00895297">
        <w:rPr>
          <w:rFonts w:ascii="Arial Narrow" w:hAnsi="Arial Narrow"/>
        </w:rPr>
        <w:t xml:space="preserve"> </w:t>
      </w:r>
      <w:r w:rsidR="00895297" w:rsidRPr="00BC6BE9">
        <w:rPr>
          <w:rFonts w:ascii="Arial Narrow" w:hAnsi="Arial Narrow"/>
        </w:rPr>
        <w:t xml:space="preserve">criminal court to rely on torture evidence would </w:t>
      </w:r>
      <w:r w:rsidR="00895297">
        <w:rPr>
          <w:rFonts w:ascii="Arial Narrow" w:hAnsi="Arial Narrow"/>
        </w:rPr>
        <w:t xml:space="preserve">indeed </w:t>
      </w:r>
      <w:r w:rsidR="00895297" w:rsidRPr="00BC6BE9">
        <w:rPr>
          <w:rFonts w:ascii="Arial Narrow" w:hAnsi="Arial Narrow"/>
        </w:rPr>
        <w:t>legitimise the torture of witnesses and</w:t>
      </w:r>
      <w:r w:rsidR="00895297">
        <w:rPr>
          <w:rFonts w:ascii="Arial Narrow" w:hAnsi="Arial Narrow"/>
        </w:rPr>
        <w:t xml:space="preserve"> </w:t>
      </w:r>
      <w:r w:rsidR="00895297" w:rsidRPr="00BC6BE9">
        <w:rPr>
          <w:rFonts w:ascii="Arial Narrow" w:hAnsi="Arial Narrow"/>
        </w:rPr>
        <w:t>suspects pre-trial. Moreover, torture evidence was unreliable, because a person being</w:t>
      </w:r>
      <w:r w:rsidR="00895297">
        <w:rPr>
          <w:rFonts w:ascii="Arial Narrow" w:hAnsi="Arial Narrow"/>
        </w:rPr>
        <w:t xml:space="preserve"> </w:t>
      </w:r>
      <w:r w:rsidR="00895297" w:rsidRPr="00BC6BE9">
        <w:rPr>
          <w:rFonts w:ascii="Arial Narrow" w:hAnsi="Arial Narrow"/>
        </w:rPr>
        <w:t>tortured would say anything to make it stop.</w:t>
      </w:r>
      <w:r w:rsidR="00895297">
        <w:rPr>
          <w:rFonts w:ascii="Arial Narrow" w:hAnsi="Arial Narrow"/>
        </w:rPr>
        <w:t xml:space="preserve"> </w:t>
      </w:r>
      <w:r w:rsidR="00895297" w:rsidRPr="00BC6BE9">
        <w:rPr>
          <w:rFonts w:ascii="Arial Narrow" w:hAnsi="Arial Narrow"/>
        </w:rPr>
        <w:t xml:space="preserve">The Court </w:t>
      </w:r>
      <w:r w:rsidR="00895297">
        <w:rPr>
          <w:rFonts w:ascii="Arial Narrow" w:hAnsi="Arial Narrow"/>
        </w:rPr>
        <w:t xml:space="preserve">also </w:t>
      </w:r>
      <w:r w:rsidR="00895297" w:rsidRPr="00BC6BE9">
        <w:rPr>
          <w:rFonts w:ascii="Arial Narrow" w:hAnsi="Arial Narrow"/>
        </w:rPr>
        <w:t xml:space="preserve">agreed with </w:t>
      </w:r>
      <w:r w:rsidR="00895297">
        <w:rPr>
          <w:rFonts w:ascii="Arial Narrow" w:hAnsi="Arial Narrow"/>
        </w:rPr>
        <w:t xml:space="preserve">the </w:t>
      </w:r>
      <w:r w:rsidR="00895297" w:rsidRPr="00BC6BE9">
        <w:rPr>
          <w:rFonts w:ascii="Arial Narrow" w:hAnsi="Arial Narrow"/>
        </w:rPr>
        <w:t>UK Special Immigration Appeals Commission that there was a high probability that the</w:t>
      </w:r>
      <w:r w:rsidR="00895297">
        <w:rPr>
          <w:rFonts w:ascii="Arial Narrow" w:hAnsi="Arial Narrow"/>
        </w:rPr>
        <w:t xml:space="preserve"> </w:t>
      </w:r>
      <w:r w:rsidR="00895297" w:rsidRPr="00BC6BE9">
        <w:rPr>
          <w:rFonts w:ascii="Arial Narrow" w:hAnsi="Arial Narrow"/>
        </w:rPr>
        <w:t>incriminating evidence would be admitted at</w:t>
      </w:r>
      <w:r w:rsidR="00895297">
        <w:rPr>
          <w:rFonts w:ascii="Arial Narrow" w:hAnsi="Arial Narrow"/>
        </w:rPr>
        <w:t xml:space="preserve"> the applicant</w:t>
      </w:r>
      <w:r w:rsidR="00895297" w:rsidRPr="00BC6BE9">
        <w:rPr>
          <w:rFonts w:ascii="Arial Narrow" w:hAnsi="Arial Narrow"/>
        </w:rPr>
        <w:t>’s retrial and that it would be of</w:t>
      </w:r>
      <w:r w:rsidR="00895297">
        <w:rPr>
          <w:rFonts w:ascii="Arial Narrow" w:hAnsi="Arial Narrow"/>
        </w:rPr>
        <w:t xml:space="preserve"> </w:t>
      </w:r>
      <w:r w:rsidR="00895297" w:rsidRPr="00BC6BE9">
        <w:rPr>
          <w:rFonts w:ascii="Arial Narrow" w:hAnsi="Arial Narrow"/>
        </w:rPr>
        <w:t>considerable, perhaps decisive, importance.</w:t>
      </w:r>
      <w:r w:rsidR="00895297">
        <w:rPr>
          <w:rFonts w:ascii="Arial Narrow" w:hAnsi="Arial Narrow"/>
        </w:rPr>
        <w:t xml:space="preserve"> </w:t>
      </w:r>
      <w:r w:rsidR="00895297" w:rsidRPr="00BC6BE9">
        <w:rPr>
          <w:rFonts w:ascii="Arial Narrow" w:hAnsi="Arial Narrow"/>
        </w:rPr>
        <w:t>In the absence of any assurance by Jordan that the torture evidence would not be used</w:t>
      </w:r>
      <w:r w:rsidR="00895297">
        <w:rPr>
          <w:rFonts w:ascii="Arial Narrow" w:hAnsi="Arial Narrow"/>
        </w:rPr>
        <w:t xml:space="preserve"> </w:t>
      </w:r>
      <w:r w:rsidR="00895297" w:rsidRPr="00BC6BE9">
        <w:rPr>
          <w:rFonts w:ascii="Arial Narrow" w:hAnsi="Arial Narrow"/>
        </w:rPr>
        <w:t xml:space="preserve">against </w:t>
      </w:r>
      <w:r w:rsidR="00895297">
        <w:rPr>
          <w:rFonts w:ascii="Arial Narrow" w:hAnsi="Arial Narrow"/>
        </w:rPr>
        <w:t>the applicant</w:t>
      </w:r>
      <w:r w:rsidR="00895297" w:rsidRPr="00BC6BE9">
        <w:rPr>
          <w:rFonts w:ascii="Arial Narrow" w:hAnsi="Arial Narrow"/>
        </w:rPr>
        <w:t>, the Court therefore concluded that his deportation to Jordan to be</w:t>
      </w:r>
      <w:r w:rsidR="00895297">
        <w:rPr>
          <w:rFonts w:ascii="Arial Narrow" w:hAnsi="Arial Narrow"/>
        </w:rPr>
        <w:t xml:space="preserve"> </w:t>
      </w:r>
      <w:r w:rsidR="00895297" w:rsidRPr="00BC6BE9">
        <w:rPr>
          <w:rFonts w:ascii="Arial Narrow" w:hAnsi="Arial Narrow"/>
        </w:rPr>
        <w:t>retried would give rise to a flagrant denial of justice in violation of Article 6.</w:t>
      </w:r>
    </w:p>
    <w:p w14:paraId="74970E99" w14:textId="77777777" w:rsidR="00895297" w:rsidRPr="007B03F8" w:rsidRDefault="00895297" w:rsidP="00895297">
      <w:pPr>
        <w:spacing w:line="480" w:lineRule="auto"/>
        <w:ind w:firstLine="567"/>
        <w:jc w:val="both"/>
        <w:rPr>
          <w:rFonts w:ascii="Arial Narrow" w:hAnsi="Arial Narrow"/>
        </w:rPr>
      </w:pPr>
    </w:p>
    <w:p w14:paraId="6217EF7A" w14:textId="0467B46F" w:rsidR="00895297" w:rsidRDefault="008D4FE1" w:rsidP="00895297">
      <w:pPr>
        <w:spacing w:line="480" w:lineRule="auto"/>
        <w:ind w:firstLine="567"/>
        <w:jc w:val="both"/>
        <w:rPr>
          <w:rFonts w:ascii="Arial Narrow" w:hAnsi="Arial Narrow"/>
        </w:rPr>
      </w:pPr>
      <w:r>
        <w:rPr>
          <w:rFonts w:ascii="Arial Narrow" w:hAnsi="Arial Narrow"/>
        </w:rPr>
        <w:t>42</w:t>
      </w:r>
      <w:r w:rsidR="00895297" w:rsidRPr="007B03F8">
        <w:rPr>
          <w:rFonts w:ascii="Arial Narrow" w:hAnsi="Arial Narrow"/>
        </w:rPr>
        <w:t>.  </w:t>
      </w:r>
      <w:r w:rsidR="00895297">
        <w:rPr>
          <w:rFonts w:ascii="Arial Narrow" w:hAnsi="Arial Narrow"/>
        </w:rPr>
        <w:t xml:space="preserve">The </w:t>
      </w:r>
      <w:r w:rsidR="00895297" w:rsidRPr="007B03F8">
        <w:rPr>
          <w:rFonts w:ascii="Arial Narrow" w:hAnsi="Arial Narrow"/>
          <w:i/>
        </w:rPr>
        <w:t xml:space="preserve">El Haski </w:t>
      </w:r>
      <w:r w:rsidR="00895297">
        <w:rPr>
          <w:rFonts w:ascii="Arial Narrow" w:hAnsi="Arial Narrow"/>
          <w:i/>
        </w:rPr>
        <w:t>v</w:t>
      </w:r>
      <w:r w:rsidR="00895297" w:rsidRPr="007B03F8">
        <w:rPr>
          <w:rFonts w:ascii="Arial Narrow" w:hAnsi="Arial Narrow"/>
          <w:i/>
        </w:rPr>
        <w:t>. Belgi</w:t>
      </w:r>
      <w:r w:rsidR="00895297">
        <w:rPr>
          <w:rFonts w:ascii="Arial Narrow" w:hAnsi="Arial Narrow"/>
          <w:i/>
        </w:rPr>
        <w:t>um</w:t>
      </w:r>
      <w:r w:rsidR="00895297" w:rsidRPr="007B03F8">
        <w:rPr>
          <w:rFonts w:ascii="Arial Narrow" w:hAnsi="Arial Narrow"/>
        </w:rPr>
        <w:t xml:space="preserve"> </w:t>
      </w:r>
      <w:r w:rsidR="00895297">
        <w:rPr>
          <w:rFonts w:ascii="Arial Narrow" w:hAnsi="Arial Narrow"/>
        </w:rPr>
        <w:t>judgment of</w:t>
      </w:r>
      <w:r w:rsidR="00895297" w:rsidRPr="007B03F8">
        <w:rPr>
          <w:rFonts w:ascii="Arial Narrow" w:hAnsi="Arial Narrow"/>
        </w:rPr>
        <w:t xml:space="preserve"> 25 </w:t>
      </w:r>
      <w:r w:rsidR="00895297">
        <w:rPr>
          <w:rFonts w:ascii="Arial Narrow" w:hAnsi="Arial Narrow"/>
        </w:rPr>
        <w:t>September</w:t>
      </w:r>
      <w:r w:rsidR="00895297" w:rsidRPr="007B03F8">
        <w:rPr>
          <w:rFonts w:ascii="Arial Narrow" w:hAnsi="Arial Narrow"/>
        </w:rPr>
        <w:t xml:space="preserve"> 2012 concerne</w:t>
      </w:r>
      <w:r w:rsidR="00895297">
        <w:rPr>
          <w:rFonts w:ascii="Arial Narrow" w:hAnsi="Arial Narrow"/>
        </w:rPr>
        <w:t>d</w:t>
      </w:r>
      <w:r w:rsidR="00895297" w:rsidRPr="007B03F8">
        <w:rPr>
          <w:rFonts w:ascii="Arial Narrow" w:hAnsi="Arial Narrow"/>
        </w:rPr>
        <w:t xml:space="preserve"> </w:t>
      </w:r>
      <w:r w:rsidR="00895297">
        <w:rPr>
          <w:rFonts w:ascii="Arial Narrow" w:hAnsi="Arial Narrow"/>
        </w:rPr>
        <w:t xml:space="preserve">the Belgian courts refusal to exclude as evidence statements taken in Morocco </w:t>
      </w:r>
      <w:r w:rsidR="00895297" w:rsidRPr="00190765">
        <w:rPr>
          <w:rFonts w:ascii="Arial Narrow" w:hAnsi="Arial Narrow"/>
        </w:rPr>
        <w:t>where there</w:t>
      </w:r>
      <w:r w:rsidR="00895297">
        <w:rPr>
          <w:rFonts w:ascii="Arial Narrow" w:hAnsi="Arial Narrow"/>
        </w:rPr>
        <w:t xml:space="preserve"> was a real risk</w:t>
      </w:r>
      <w:r w:rsidR="00895297" w:rsidRPr="00190765">
        <w:rPr>
          <w:rFonts w:ascii="Arial Narrow" w:hAnsi="Arial Narrow"/>
        </w:rPr>
        <w:t xml:space="preserve"> that </w:t>
      </w:r>
      <w:r w:rsidR="00895297">
        <w:rPr>
          <w:rFonts w:ascii="Arial Narrow" w:hAnsi="Arial Narrow"/>
        </w:rPr>
        <w:t>they</w:t>
      </w:r>
      <w:r w:rsidR="00895297" w:rsidRPr="00190765">
        <w:rPr>
          <w:rFonts w:ascii="Arial Narrow" w:hAnsi="Arial Narrow"/>
        </w:rPr>
        <w:t xml:space="preserve"> had been obtained by torture</w:t>
      </w:r>
      <w:r w:rsidR="00895297" w:rsidRPr="007B03F8">
        <w:rPr>
          <w:rStyle w:val="FootnoteReference"/>
          <w:rFonts w:ascii="Arial Narrow" w:hAnsi="Arial Narrow"/>
        </w:rPr>
        <w:footnoteReference w:id="52"/>
      </w:r>
      <w:r w:rsidR="00895297" w:rsidRPr="007B03F8">
        <w:rPr>
          <w:rFonts w:ascii="Arial Narrow" w:hAnsi="Arial Narrow"/>
        </w:rPr>
        <w:t xml:space="preserve">. </w:t>
      </w:r>
      <w:r w:rsidR="00895297">
        <w:rPr>
          <w:rFonts w:ascii="Arial Narrow" w:hAnsi="Arial Narrow"/>
        </w:rPr>
        <w:t>Moreover, o</w:t>
      </w:r>
      <w:r w:rsidR="00895297" w:rsidRPr="00190765">
        <w:rPr>
          <w:rFonts w:ascii="Arial Narrow" w:hAnsi="Arial Narrow"/>
        </w:rPr>
        <w:t>n the basis of several reports issued by the United Nations and non-governmental</w:t>
      </w:r>
      <w:r w:rsidR="00895297">
        <w:rPr>
          <w:rFonts w:ascii="Arial Narrow" w:hAnsi="Arial Narrow"/>
        </w:rPr>
        <w:t xml:space="preserve"> </w:t>
      </w:r>
      <w:r w:rsidR="00895297" w:rsidRPr="00190765">
        <w:rPr>
          <w:rFonts w:ascii="Arial Narrow" w:hAnsi="Arial Narrow"/>
        </w:rPr>
        <w:t xml:space="preserve">organisations, the </w:t>
      </w:r>
      <w:r w:rsidR="00895297">
        <w:rPr>
          <w:rFonts w:ascii="Arial Narrow" w:hAnsi="Arial Narrow"/>
        </w:rPr>
        <w:t xml:space="preserve">European </w:t>
      </w:r>
      <w:r w:rsidR="00895297" w:rsidRPr="00190765">
        <w:rPr>
          <w:rFonts w:ascii="Arial Narrow" w:hAnsi="Arial Narrow"/>
        </w:rPr>
        <w:t>Court noted that at the relevant time the Moroccan judicial system did</w:t>
      </w:r>
      <w:r w:rsidR="00895297">
        <w:rPr>
          <w:rFonts w:ascii="Arial Narrow" w:hAnsi="Arial Narrow"/>
        </w:rPr>
        <w:t xml:space="preserve"> </w:t>
      </w:r>
      <w:r w:rsidR="00895297" w:rsidRPr="00190765">
        <w:rPr>
          <w:rFonts w:ascii="Arial Narrow" w:hAnsi="Arial Narrow"/>
        </w:rPr>
        <w:t>not offer real guarantees of independent, impartial and serious examination of</w:t>
      </w:r>
      <w:r w:rsidR="006E58A3">
        <w:rPr>
          <w:rFonts w:ascii="Arial Narrow" w:hAnsi="Arial Narrow"/>
        </w:rPr>
        <w:t> </w:t>
      </w:r>
      <w:r w:rsidR="00895297" w:rsidRPr="00190765">
        <w:rPr>
          <w:rFonts w:ascii="Arial Narrow" w:hAnsi="Arial Narrow"/>
        </w:rPr>
        <w:t>allegations of torture or inhuman or degrading treatment. Article 6 of the Convention</w:t>
      </w:r>
      <w:r w:rsidR="00895297">
        <w:rPr>
          <w:rFonts w:ascii="Arial Narrow" w:hAnsi="Arial Narrow"/>
        </w:rPr>
        <w:t xml:space="preserve"> – the right to a fair trial –</w:t>
      </w:r>
      <w:r w:rsidR="00895297" w:rsidRPr="00190765">
        <w:rPr>
          <w:rFonts w:ascii="Arial Narrow" w:hAnsi="Arial Narrow"/>
        </w:rPr>
        <w:t xml:space="preserve"> therefore required the domestic courts not to admit</w:t>
      </w:r>
      <w:r w:rsidR="00895297">
        <w:rPr>
          <w:rFonts w:ascii="Arial Narrow" w:hAnsi="Arial Narrow"/>
        </w:rPr>
        <w:t xml:space="preserve"> </w:t>
      </w:r>
      <w:r w:rsidR="00895297" w:rsidRPr="00190765">
        <w:rPr>
          <w:rFonts w:ascii="Arial Narrow" w:hAnsi="Arial Narrow"/>
        </w:rPr>
        <w:t xml:space="preserve">them as evidence without first making sure they had not been obtained by </w:t>
      </w:r>
      <w:r w:rsidR="00895297">
        <w:rPr>
          <w:rFonts w:ascii="Arial Narrow" w:hAnsi="Arial Narrow"/>
        </w:rPr>
        <w:t>torture</w:t>
      </w:r>
      <w:r w:rsidR="00895297" w:rsidRPr="00190765">
        <w:rPr>
          <w:rFonts w:ascii="Arial Narrow" w:hAnsi="Arial Narrow"/>
        </w:rPr>
        <w:t>.</w:t>
      </w:r>
      <w:r w:rsidR="00895297">
        <w:rPr>
          <w:rFonts w:ascii="Arial Narrow" w:hAnsi="Arial Narrow"/>
        </w:rPr>
        <w:t xml:space="preserve"> </w:t>
      </w:r>
      <w:r w:rsidR="00895297" w:rsidRPr="00190765">
        <w:rPr>
          <w:rFonts w:ascii="Arial Narrow" w:hAnsi="Arial Narrow"/>
        </w:rPr>
        <w:t>However, in rejecting the applicant’s request to exclude the statements</w:t>
      </w:r>
      <w:r w:rsidR="00895297">
        <w:rPr>
          <w:rFonts w:ascii="Arial Narrow" w:hAnsi="Arial Narrow"/>
        </w:rPr>
        <w:t>,</w:t>
      </w:r>
      <w:r w:rsidR="00895297" w:rsidRPr="00190765">
        <w:rPr>
          <w:rFonts w:ascii="Arial Narrow" w:hAnsi="Arial Narrow"/>
        </w:rPr>
        <w:t xml:space="preserve"> the Court of Appeal simply noted that he had provided no “concrete proof” capable of</w:t>
      </w:r>
      <w:r w:rsidR="00895297">
        <w:rPr>
          <w:rFonts w:ascii="Arial Narrow" w:hAnsi="Arial Narrow"/>
        </w:rPr>
        <w:t xml:space="preserve"> </w:t>
      </w:r>
      <w:r w:rsidR="00895297" w:rsidRPr="00190765">
        <w:rPr>
          <w:rFonts w:ascii="Arial Narrow" w:hAnsi="Arial Narrow"/>
        </w:rPr>
        <w:t>shedding “rea</w:t>
      </w:r>
      <w:r w:rsidR="00895297">
        <w:rPr>
          <w:rFonts w:ascii="Arial Narrow" w:hAnsi="Arial Narrow"/>
        </w:rPr>
        <w:t>sonable doubt” on the evidence, which was clearly insufficient.</w:t>
      </w:r>
    </w:p>
    <w:p w14:paraId="7CF7C088" w14:textId="77777777" w:rsidR="00CC5E80" w:rsidRDefault="00CC5E80" w:rsidP="00895297">
      <w:pPr>
        <w:spacing w:line="480" w:lineRule="auto"/>
        <w:ind w:firstLine="567"/>
        <w:jc w:val="both"/>
        <w:rPr>
          <w:rFonts w:ascii="Arial Narrow" w:hAnsi="Arial Narrow"/>
        </w:rPr>
      </w:pPr>
    </w:p>
    <w:p w14:paraId="12727ED9" w14:textId="5B7B4458" w:rsidR="006C7444" w:rsidRDefault="008D4FE1" w:rsidP="00CC5E80">
      <w:pPr>
        <w:spacing w:line="480" w:lineRule="auto"/>
        <w:ind w:firstLine="567"/>
        <w:jc w:val="both"/>
        <w:rPr>
          <w:rFonts w:ascii="Arial Narrow" w:hAnsi="Arial Narrow"/>
          <w:highlight w:val="yellow"/>
        </w:rPr>
      </w:pPr>
      <w:r w:rsidRPr="009B5651">
        <w:rPr>
          <w:rFonts w:ascii="Arial Narrow" w:hAnsi="Arial Narrow"/>
        </w:rPr>
        <w:t>43</w:t>
      </w:r>
      <w:r w:rsidR="00CC5E80" w:rsidRPr="009B5651">
        <w:rPr>
          <w:rFonts w:ascii="Arial Narrow" w:hAnsi="Arial Narrow"/>
        </w:rPr>
        <w:t>.  </w:t>
      </w:r>
      <w:r w:rsidR="006C7444" w:rsidRPr="00D50C07">
        <w:rPr>
          <w:rFonts w:ascii="Arial Narrow" w:hAnsi="Arial Narrow"/>
        </w:rPr>
        <w:t xml:space="preserve">By contrast, in the </w:t>
      </w:r>
      <w:r w:rsidR="006C7444" w:rsidRPr="00D50C07">
        <w:rPr>
          <w:rFonts w:ascii="Arial Narrow" w:hAnsi="Arial Narrow"/>
          <w:i/>
        </w:rPr>
        <w:t>McKevitt and Campbell v. the United Kingdom</w:t>
      </w:r>
      <w:r w:rsidR="006C7444" w:rsidRPr="00D50C07">
        <w:rPr>
          <w:rFonts w:ascii="Arial Narrow" w:hAnsi="Arial Narrow"/>
        </w:rPr>
        <w:t xml:space="preserve"> decision of 6 September</w:t>
      </w:r>
      <w:r w:rsidR="00CC5E80" w:rsidRPr="00D50C07">
        <w:rPr>
          <w:rFonts w:ascii="Arial Narrow" w:hAnsi="Arial Narrow"/>
        </w:rPr>
        <w:t xml:space="preserve"> 2016</w:t>
      </w:r>
      <w:r w:rsidR="006C7444" w:rsidRPr="00D50C07">
        <w:rPr>
          <w:rFonts w:ascii="Arial Narrow" w:hAnsi="Arial Narrow"/>
        </w:rPr>
        <w:t xml:space="preserve">, the Court unanimously declared the application inadmissible under Article </w:t>
      </w:r>
      <w:r w:rsidR="00CC5E80" w:rsidRPr="00D50C07">
        <w:rPr>
          <w:rFonts w:ascii="Arial Narrow" w:hAnsi="Arial Narrow"/>
        </w:rPr>
        <w:t xml:space="preserve">6 §§ 1 et 3 </w:t>
      </w:r>
      <w:r w:rsidR="006C7444" w:rsidRPr="00D50C07">
        <w:rPr>
          <w:rFonts w:ascii="Arial Narrow" w:hAnsi="Arial Narrow"/>
        </w:rPr>
        <w:t>(</w:t>
      </w:r>
      <w:r w:rsidR="00CC5E80" w:rsidRPr="00D50C07">
        <w:rPr>
          <w:rFonts w:ascii="Arial Narrow" w:hAnsi="Arial Narrow"/>
        </w:rPr>
        <w:t>d)</w:t>
      </w:r>
      <w:r w:rsidR="006E58A3">
        <w:rPr>
          <w:rFonts w:ascii="Arial Narrow" w:hAnsi="Arial Narrow"/>
        </w:rPr>
        <w:t xml:space="preserve"> of the </w:t>
      </w:r>
      <w:r w:rsidR="006C7444" w:rsidRPr="00D50C07">
        <w:rPr>
          <w:rFonts w:ascii="Arial Narrow" w:hAnsi="Arial Narrow"/>
        </w:rPr>
        <w:t>Convention</w:t>
      </w:r>
      <w:r w:rsidR="00CC5E80" w:rsidRPr="00D50C07">
        <w:rPr>
          <w:rFonts w:ascii="Arial Narrow" w:hAnsi="Arial Narrow"/>
        </w:rPr>
        <w:t xml:space="preserve">. </w:t>
      </w:r>
      <w:r w:rsidR="006C7444" w:rsidRPr="00D50C07">
        <w:rPr>
          <w:rFonts w:ascii="Arial Narrow" w:hAnsi="Arial Narrow"/>
        </w:rPr>
        <w:t>I</w:t>
      </w:r>
      <w:r w:rsidR="006C7444" w:rsidRPr="006C7444">
        <w:rPr>
          <w:rFonts w:ascii="Arial Narrow" w:hAnsi="Arial Narrow"/>
        </w:rPr>
        <w:t xml:space="preserve">n regard to the evidence of </w:t>
      </w:r>
      <w:r w:rsidR="00D50C07" w:rsidRPr="00D50C07">
        <w:rPr>
          <w:rFonts w:ascii="Arial Narrow" w:hAnsi="Arial Narrow"/>
        </w:rPr>
        <w:t>an FBI agent who had not been made available in court for questioning</w:t>
      </w:r>
      <w:r w:rsidR="006C7444" w:rsidRPr="006C7444">
        <w:rPr>
          <w:rFonts w:ascii="Arial Narrow" w:hAnsi="Arial Narrow"/>
        </w:rPr>
        <w:t xml:space="preserve">, </w:t>
      </w:r>
      <w:r w:rsidR="00D50C07">
        <w:rPr>
          <w:rFonts w:ascii="Arial Narrow" w:hAnsi="Arial Narrow"/>
        </w:rPr>
        <w:t>it</w:t>
      </w:r>
      <w:r w:rsidR="006C7444" w:rsidRPr="006C7444">
        <w:rPr>
          <w:rFonts w:ascii="Arial Narrow" w:hAnsi="Arial Narrow"/>
        </w:rPr>
        <w:t xml:space="preserve"> found in particular that the judge had fully considered the need for appropriate safeguards given the witness’s absence</w:t>
      </w:r>
      <w:r w:rsidR="00D50C07">
        <w:rPr>
          <w:rFonts w:ascii="Arial Narrow" w:hAnsi="Arial Narrow"/>
        </w:rPr>
        <w:t>, namely</w:t>
      </w:r>
      <w:r w:rsidR="006C7444" w:rsidRPr="006C7444">
        <w:rPr>
          <w:rFonts w:ascii="Arial Narrow" w:hAnsi="Arial Narrow"/>
        </w:rPr>
        <w:t xml:space="preserve"> that the </w:t>
      </w:r>
      <w:r w:rsidR="00D50C07">
        <w:rPr>
          <w:rFonts w:ascii="Arial Narrow" w:hAnsi="Arial Narrow"/>
        </w:rPr>
        <w:t>applicants</w:t>
      </w:r>
      <w:r w:rsidR="006C7444" w:rsidRPr="006C7444">
        <w:rPr>
          <w:rFonts w:ascii="Arial Narrow" w:hAnsi="Arial Narrow"/>
        </w:rPr>
        <w:t xml:space="preserve"> had had an adequate opportunity to challenge the </w:t>
      </w:r>
      <w:r w:rsidR="00D50C07">
        <w:rPr>
          <w:rFonts w:ascii="Arial Narrow" w:hAnsi="Arial Narrow"/>
        </w:rPr>
        <w:t>agent’s evidence with their own</w:t>
      </w:r>
      <w:r w:rsidR="006C7444" w:rsidRPr="006C7444">
        <w:rPr>
          <w:rFonts w:ascii="Arial Narrow" w:hAnsi="Arial Narrow"/>
        </w:rPr>
        <w:t xml:space="preserve"> and that the judge had had due regard to the appropriate considerations when deciding what weight he could attach to the evidence of an absent witness.</w:t>
      </w:r>
      <w:r w:rsidR="00D50C07">
        <w:rPr>
          <w:rFonts w:ascii="Arial Narrow" w:hAnsi="Arial Narrow"/>
        </w:rPr>
        <w:t xml:space="preserve"> </w:t>
      </w:r>
      <w:r w:rsidR="00D50C07" w:rsidRPr="00D50C07">
        <w:rPr>
          <w:rFonts w:ascii="Arial Narrow" w:hAnsi="Arial Narrow"/>
        </w:rPr>
        <w:t>In light of this, the Court found that the national court’s findings could not be said to have been arbitrary or unreasonable</w:t>
      </w:r>
      <w:r w:rsidR="00D50C07" w:rsidRPr="00D50C07">
        <w:rPr>
          <w:rStyle w:val="FootnoteReference"/>
          <w:rFonts w:ascii="Arial Narrow" w:hAnsi="Arial Narrow"/>
          <w:lang w:val="fr-FR"/>
        </w:rPr>
        <w:footnoteReference w:id="53"/>
      </w:r>
      <w:r w:rsidR="00D50C07" w:rsidRPr="00D50C07">
        <w:rPr>
          <w:rFonts w:ascii="Arial Narrow" w:hAnsi="Arial Narrow"/>
        </w:rPr>
        <w:t>. The applicants had not demonstrated that their trial was unfair, and the Court dismissed their applications.</w:t>
      </w:r>
      <w:r w:rsidR="00D50C07">
        <w:rPr>
          <w:rFonts w:ascii="Arial Narrow" w:hAnsi="Arial Narrow"/>
        </w:rPr>
        <w:t xml:space="preserve"> This echoes the idea that procedural guarantees can, in certain cases, compensate for obstacles faced by the defence and prevent the risk of abuse. </w:t>
      </w:r>
    </w:p>
    <w:p w14:paraId="4B4B0ABD" w14:textId="77777777" w:rsidR="00895297" w:rsidRPr="009B5651" w:rsidRDefault="00895297" w:rsidP="00895297">
      <w:pPr>
        <w:spacing w:line="480" w:lineRule="auto"/>
        <w:ind w:firstLine="567"/>
        <w:jc w:val="both"/>
        <w:rPr>
          <w:rFonts w:ascii="Arial Narrow" w:hAnsi="Arial Narrow"/>
        </w:rPr>
      </w:pPr>
    </w:p>
    <w:p w14:paraId="18E7D253" w14:textId="31EA5229" w:rsidR="00895297" w:rsidRDefault="008D4FE1" w:rsidP="00895297">
      <w:pPr>
        <w:spacing w:line="480" w:lineRule="auto"/>
        <w:ind w:firstLine="567"/>
        <w:jc w:val="both"/>
        <w:rPr>
          <w:rFonts w:ascii="Arial Narrow" w:hAnsi="Arial Narrow"/>
        </w:rPr>
      </w:pPr>
      <w:r>
        <w:rPr>
          <w:rFonts w:ascii="Arial Narrow" w:hAnsi="Arial Narrow"/>
        </w:rPr>
        <w:t>44</w:t>
      </w:r>
      <w:r w:rsidR="00895297" w:rsidRPr="007B03F8">
        <w:rPr>
          <w:rFonts w:ascii="Arial Narrow" w:hAnsi="Arial Narrow"/>
        </w:rPr>
        <w:t>.  </w:t>
      </w:r>
      <w:r w:rsidR="00895297">
        <w:rPr>
          <w:rFonts w:ascii="Arial Narrow" w:hAnsi="Arial Narrow"/>
        </w:rPr>
        <w:t>Lastly</w:t>
      </w:r>
      <w:r w:rsidR="00895297" w:rsidRPr="007B03F8">
        <w:rPr>
          <w:rFonts w:ascii="Arial Narrow" w:hAnsi="Arial Narrow"/>
        </w:rPr>
        <w:t>,</w:t>
      </w:r>
      <w:r w:rsidR="00895297">
        <w:rPr>
          <w:rFonts w:ascii="Arial Narrow" w:hAnsi="Arial Narrow"/>
        </w:rPr>
        <w:t xml:space="preserve"> the rights of the defence are an essential aspect of the right to a fair trial. For those who think that the European Court of Human Rights exercises a unilateral control or that is is naïve, laxist and cut-off from reality, the </w:t>
      </w:r>
      <w:r w:rsidR="00895297" w:rsidRPr="007B03F8">
        <w:rPr>
          <w:rFonts w:ascii="Arial Narrow" w:hAnsi="Arial Narrow"/>
          <w:i/>
        </w:rPr>
        <w:t xml:space="preserve">Ibrahim </w:t>
      </w:r>
      <w:r w:rsidR="00895297">
        <w:rPr>
          <w:rFonts w:ascii="Arial Narrow" w:hAnsi="Arial Narrow"/>
          <w:i/>
        </w:rPr>
        <w:t>and Others v. the United Kingdom</w:t>
      </w:r>
      <w:r w:rsidR="00895297" w:rsidRPr="007B03F8">
        <w:rPr>
          <w:rFonts w:ascii="Arial Narrow" w:hAnsi="Arial Narrow"/>
        </w:rPr>
        <w:t xml:space="preserve"> </w:t>
      </w:r>
      <w:r w:rsidR="00895297">
        <w:rPr>
          <w:rFonts w:ascii="Arial Narrow" w:hAnsi="Arial Narrow"/>
        </w:rPr>
        <w:t xml:space="preserve">Grand Chamber judgment of </w:t>
      </w:r>
      <w:r w:rsidR="00895297" w:rsidRPr="007B03F8">
        <w:rPr>
          <w:rFonts w:ascii="Arial Narrow" w:hAnsi="Arial Narrow"/>
        </w:rPr>
        <w:t xml:space="preserve">13 </w:t>
      </w:r>
      <w:r w:rsidR="00895297">
        <w:rPr>
          <w:rFonts w:ascii="Arial Narrow" w:hAnsi="Arial Narrow"/>
        </w:rPr>
        <w:t xml:space="preserve">September </w:t>
      </w:r>
      <w:r w:rsidR="00895297" w:rsidRPr="007B03F8">
        <w:rPr>
          <w:rFonts w:ascii="Arial Narrow" w:hAnsi="Arial Narrow"/>
        </w:rPr>
        <w:t xml:space="preserve">2016 </w:t>
      </w:r>
      <w:r w:rsidR="00895297">
        <w:rPr>
          <w:rFonts w:ascii="Arial Narrow" w:hAnsi="Arial Narrow"/>
        </w:rPr>
        <w:t>constitutes another counterexample</w:t>
      </w:r>
      <w:r w:rsidR="00895297" w:rsidRPr="007B03F8">
        <w:rPr>
          <w:rFonts w:ascii="Arial Narrow" w:hAnsi="Arial Narrow"/>
        </w:rPr>
        <w:t xml:space="preserve">. </w:t>
      </w:r>
      <w:r w:rsidR="00895297">
        <w:rPr>
          <w:rFonts w:ascii="Arial Narrow" w:hAnsi="Arial Narrow"/>
        </w:rPr>
        <w:t>It concerns delayed access to lawyers during police questioning of the 21</w:t>
      </w:r>
      <w:r w:rsidR="00895297" w:rsidRPr="00975520">
        <w:rPr>
          <w:rFonts w:ascii="Arial Narrow" w:hAnsi="Arial Narrow"/>
          <w:vertAlign w:val="superscript"/>
        </w:rPr>
        <w:t>st</w:t>
      </w:r>
      <w:r w:rsidR="00895297">
        <w:rPr>
          <w:rFonts w:ascii="Arial Narrow" w:hAnsi="Arial Narrow"/>
        </w:rPr>
        <w:t xml:space="preserve"> July 2005 London bombers. The </w:t>
      </w:r>
      <w:r w:rsidR="00895297" w:rsidRPr="00E62755">
        <w:rPr>
          <w:rFonts w:ascii="Arial Narrow" w:hAnsi="Arial Narrow"/>
        </w:rPr>
        <w:t xml:space="preserve">Court </w:t>
      </w:r>
      <w:r w:rsidR="00895297">
        <w:rPr>
          <w:rFonts w:ascii="Arial Narrow" w:hAnsi="Arial Narrow"/>
        </w:rPr>
        <w:t xml:space="preserve">accepted that the police had temporarily delayed access to a lawyer of those suspected, because </w:t>
      </w:r>
      <w:r w:rsidR="00895297" w:rsidRPr="00E62755">
        <w:rPr>
          <w:rFonts w:ascii="Arial Narrow" w:hAnsi="Arial Narrow"/>
        </w:rPr>
        <w:t>there had been</w:t>
      </w:r>
      <w:r w:rsidR="00895297">
        <w:rPr>
          <w:rFonts w:ascii="Arial Narrow" w:hAnsi="Arial Narrow"/>
        </w:rPr>
        <w:t xml:space="preserve"> </w:t>
      </w:r>
      <w:r w:rsidR="00895297" w:rsidRPr="009F3D58">
        <w:rPr>
          <w:rFonts w:ascii="Arial Narrow" w:hAnsi="Arial Narrow"/>
        </w:rPr>
        <w:t>an exceptionally serious and</w:t>
      </w:r>
      <w:r w:rsidR="00895297">
        <w:rPr>
          <w:rFonts w:ascii="Arial Narrow" w:hAnsi="Arial Narrow"/>
        </w:rPr>
        <w:t xml:space="preserve"> </w:t>
      </w:r>
      <w:r w:rsidR="00895297" w:rsidRPr="009F3D58">
        <w:rPr>
          <w:rFonts w:ascii="Arial Narrow" w:hAnsi="Arial Narrow"/>
        </w:rPr>
        <w:t xml:space="preserve">imminent threat to public safety, namely the risk of </w:t>
      </w:r>
      <w:r w:rsidR="00895297">
        <w:rPr>
          <w:rFonts w:ascii="Arial Narrow" w:hAnsi="Arial Narrow"/>
        </w:rPr>
        <w:t>a terrorist</w:t>
      </w:r>
      <w:r w:rsidR="00895297" w:rsidRPr="009F3D58">
        <w:rPr>
          <w:rFonts w:ascii="Arial Narrow" w:hAnsi="Arial Narrow"/>
        </w:rPr>
        <w:t xml:space="preserve"> attacks</w:t>
      </w:r>
      <w:r w:rsidR="00895297" w:rsidRPr="007B03F8">
        <w:rPr>
          <w:rStyle w:val="FootnoteReference"/>
          <w:rFonts w:ascii="Arial Narrow" w:hAnsi="Arial Narrow"/>
        </w:rPr>
        <w:footnoteReference w:id="54"/>
      </w:r>
      <w:r w:rsidR="00895297">
        <w:rPr>
          <w:rFonts w:ascii="Arial Narrow" w:hAnsi="Arial Narrow"/>
        </w:rPr>
        <w:t xml:space="preserve">. </w:t>
      </w:r>
      <w:r w:rsidR="00CD165E">
        <w:rPr>
          <w:rFonts w:ascii="Arial Narrow" w:hAnsi="Arial Narrow"/>
        </w:rPr>
        <w:t xml:space="preserve">We can certainly regret this judgment and I do. </w:t>
      </w:r>
      <w:r w:rsidR="00895297">
        <w:rPr>
          <w:rFonts w:ascii="Arial Narrow" w:hAnsi="Arial Narrow"/>
        </w:rPr>
        <w:t>The</w:t>
      </w:r>
      <w:r w:rsidR="00895297" w:rsidRPr="007B03F8">
        <w:rPr>
          <w:rFonts w:ascii="Arial Narrow" w:hAnsi="Arial Narrow"/>
        </w:rPr>
        <w:t> </w:t>
      </w:r>
      <w:r w:rsidR="00895297">
        <w:rPr>
          <w:rFonts w:ascii="Arial Narrow" w:hAnsi="Arial Narrow"/>
        </w:rPr>
        <w:t>Court’s reasoning must be read, in all its shades</w:t>
      </w:r>
      <w:r w:rsidR="00CC5E80">
        <w:rPr>
          <w:rFonts w:ascii="Arial Narrow" w:hAnsi="Arial Narrow"/>
        </w:rPr>
        <w:t xml:space="preserve"> and waves</w:t>
      </w:r>
      <w:r w:rsidR="00895297">
        <w:rPr>
          <w:rFonts w:ascii="Arial Narrow" w:hAnsi="Arial Narrow"/>
        </w:rPr>
        <w:t>.</w:t>
      </w:r>
      <w:r w:rsidR="00895297" w:rsidRPr="007B03F8">
        <w:rPr>
          <w:rFonts w:ascii="Arial Narrow" w:hAnsi="Arial Narrow"/>
        </w:rPr>
        <w:t xml:space="preserve"> </w:t>
      </w:r>
      <w:r w:rsidR="00895297" w:rsidRPr="00CA5E75">
        <w:rPr>
          <w:rFonts w:ascii="Arial Narrow" w:hAnsi="Arial Narrow"/>
        </w:rPr>
        <w:t>On the one hand, the Court recalled that “[t]he g</w:t>
      </w:r>
      <w:r w:rsidR="00895297" w:rsidRPr="007B03F8">
        <w:rPr>
          <w:rFonts w:ascii="Arial Narrow" w:hAnsi="Arial Narrow"/>
        </w:rPr>
        <w:t>eneral requirements of fairness contained in Article 6 apply to</w:t>
      </w:r>
      <w:r w:rsidR="008113A8">
        <w:rPr>
          <w:rFonts w:ascii="Arial Narrow" w:hAnsi="Arial Narrow"/>
        </w:rPr>
        <w:t> </w:t>
      </w:r>
      <w:r w:rsidR="00895297" w:rsidRPr="007B03F8">
        <w:rPr>
          <w:rFonts w:ascii="Arial Narrow" w:hAnsi="Arial Narrow"/>
        </w:rPr>
        <w:t>all criminal proceedings, irrespective of the type of offence in issue. There can be no question of watering down fair trial rights for the sole reason that the individuals in question are suspected of involvement in terrorism. In these challe</w:t>
      </w:r>
      <w:r w:rsidR="00895297">
        <w:rPr>
          <w:rFonts w:ascii="Arial Narrow" w:hAnsi="Arial Narrow"/>
        </w:rPr>
        <w:t>nging times, the </w:t>
      </w:r>
      <w:r w:rsidR="00895297" w:rsidRPr="007B03F8">
        <w:rPr>
          <w:rFonts w:ascii="Arial Narrow" w:hAnsi="Arial Narrow"/>
        </w:rPr>
        <w:t xml:space="preserve">Court considers that it is of the utmost importance that the Contracting Parties demonstrate their commitment to human rights and the rule of law by ensuring respect for, </w:t>
      </w:r>
      <w:r w:rsidR="00895297" w:rsidRPr="00A13879">
        <w:rPr>
          <w:rFonts w:ascii="Arial Narrow" w:hAnsi="Arial Narrow"/>
          <w:i/>
        </w:rPr>
        <w:t>inter alia</w:t>
      </w:r>
      <w:r w:rsidR="00895297" w:rsidRPr="007B03F8">
        <w:rPr>
          <w:rFonts w:ascii="Arial Narrow" w:hAnsi="Arial Narrow"/>
        </w:rPr>
        <w:t>, the minimum guarantees of Article 6 of the Convention</w:t>
      </w:r>
      <w:r w:rsidR="00895297">
        <w:rPr>
          <w:rFonts w:ascii="Arial Narrow" w:hAnsi="Arial Narrow"/>
        </w:rPr>
        <w:t>”</w:t>
      </w:r>
      <w:r w:rsidR="00895297" w:rsidRPr="007B03F8">
        <w:rPr>
          <w:rStyle w:val="FootnoteReference"/>
          <w:rFonts w:ascii="Arial Narrow" w:hAnsi="Arial Narrow"/>
        </w:rPr>
        <w:footnoteReference w:id="55"/>
      </w:r>
      <w:r w:rsidR="00895297" w:rsidRPr="007B03F8">
        <w:rPr>
          <w:rFonts w:ascii="Arial Narrow" w:hAnsi="Arial Narrow"/>
        </w:rPr>
        <w:t xml:space="preserve">. </w:t>
      </w:r>
      <w:r w:rsidR="00895297">
        <w:rPr>
          <w:rFonts w:ascii="Arial Narrow" w:hAnsi="Arial Narrow"/>
        </w:rPr>
        <w:t>On the other hand, “</w:t>
      </w:r>
      <w:r w:rsidR="00895297" w:rsidRPr="007B03F8">
        <w:rPr>
          <w:rFonts w:ascii="Arial Narrow" w:hAnsi="Arial Narrow"/>
        </w:rPr>
        <w:t>when determining whether the proceedings as a whole have been fair the weight of the public interest in the investigation and punishment of the particular offence in issue may be taken into consideration … Moreover, Article 6 should not be applied in such a manner as to put disproportionate difficulties in the way of the police authorities in taking effective measures to counter terrorism or other serious crimes in discharge of their duty under Articles 2, 3 and 5 § 1 of the Convention to protect the right to life and the right to bodily security of members of the public</w:t>
      </w:r>
      <w:r w:rsidR="00895297">
        <w:rPr>
          <w:rFonts w:ascii="Arial Narrow" w:hAnsi="Arial Narrow"/>
        </w:rPr>
        <w:t>”</w:t>
      </w:r>
      <w:r w:rsidR="00895297" w:rsidRPr="007B03F8">
        <w:rPr>
          <w:rStyle w:val="FootnoteReference"/>
          <w:rFonts w:ascii="Arial Narrow" w:hAnsi="Arial Narrow"/>
        </w:rPr>
        <w:footnoteReference w:id="56"/>
      </w:r>
      <w:r w:rsidR="00895297">
        <w:rPr>
          <w:rFonts w:ascii="Arial Narrow" w:hAnsi="Arial Narrow"/>
        </w:rPr>
        <w:t>. Finally</w:t>
      </w:r>
      <w:r w:rsidR="00895297" w:rsidRPr="007B03F8">
        <w:rPr>
          <w:rFonts w:ascii="Arial Narrow" w:hAnsi="Arial Narrow"/>
        </w:rPr>
        <w:t xml:space="preserve">, </w:t>
      </w:r>
      <w:r w:rsidR="00CC5E80" w:rsidRPr="008D4FE1">
        <w:rPr>
          <w:rFonts w:ascii="Arial Narrow" w:hAnsi="Arial Narrow"/>
        </w:rPr>
        <w:t xml:space="preserve">as a </w:t>
      </w:r>
      <w:r w:rsidRPr="008D4FE1">
        <w:rPr>
          <w:rFonts w:ascii="Arial Narrow" w:hAnsi="Arial Narrow"/>
        </w:rPr>
        <w:t>sort</w:t>
      </w:r>
      <w:r w:rsidR="00CC5E80" w:rsidRPr="008D4FE1">
        <w:rPr>
          <w:rFonts w:ascii="Arial Narrow" w:hAnsi="Arial Narrow"/>
        </w:rPr>
        <w:t xml:space="preserve"> of concession,</w:t>
      </w:r>
      <w:r w:rsidR="00CC5E80">
        <w:rPr>
          <w:rFonts w:ascii="Arial Narrow" w:hAnsi="Arial Narrow"/>
        </w:rPr>
        <w:t xml:space="preserve"> the Court admits that </w:t>
      </w:r>
      <w:r w:rsidR="00895297">
        <w:rPr>
          <w:rFonts w:ascii="Arial Narrow" w:hAnsi="Arial Narrow"/>
        </w:rPr>
        <w:t>“</w:t>
      </w:r>
      <w:r w:rsidR="00895297" w:rsidRPr="007B03F8">
        <w:rPr>
          <w:rFonts w:ascii="Arial Narrow" w:hAnsi="Arial Narrow"/>
        </w:rPr>
        <w:t>public interest concerns cannot justify measures which extinguish the very essence of an applicant’s defence rights …”</w:t>
      </w:r>
      <w:r w:rsidR="00895297" w:rsidRPr="007B03F8">
        <w:rPr>
          <w:rStyle w:val="FootnoteReference"/>
          <w:rFonts w:ascii="Arial Narrow" w:hAnsi="Arial Narrow"/>
        </w:rPr>
        <w:footnoteReference w:id="57"/>
      </w:r>
      <w:r w:rsidR="00895297" w:rsidRPr="007B03F8">
        <w:rPr>
          <w:rFonts w:ascii="Arial Narrow" w:hAnsi="Arial Narrow"/>
        </w:rPr>
        <w:t xml:space="preserve">. </w:t>
      </w:r>
    </w:p>
    <w:p w14:paraId="107C6F94" w14:textId="77777777" w:rsidR="00895297" w:rsidRDefault="00895297" w:rsidP="00895297">
      <w:pPr>
        <w:spacing w:line="480" w:lineRule="auto"/>
        <w:ind w:firstLine="567"/>
        <w:jc w:val="both"/>
        <w:rPr>
          <w:rFonts w:ascii="Arial Narrow" w:hAnsi="Arial Narrow"/>
        </w:rPr>
      </w:pPr>
    </w:p>
    <w:p w14:paraId="10D147CD" w14:textId="770224FD" w:rsidR="00895297" w:rsidRPr="007B03F8" w:rsidRDefault="00895297" w:rsidP="00895297">
      <w:pPr>
        <w:spacing w:line="480" w:lineRule="auto"/>
        <w:ind w:firstLine="567"/>
        <w:jc w:val="both"/>
        <w:rPr>
          <w:rFonts w:ascii="Arial Narrow" w:hAnsi="Arial Narrow"/>
        </w:rPr>
      </w:pPr>
      <w:r>
        <w:rPr>
          <w:rFonts w:ascii="Arial Narrow" w:hAnsi="Arial Narrow"/>
        </w:rPr>
        <w:t>4</w:t>
      </w:r>
      <w:r w:rsidR="008D4FE1">
        <w:rPr>
          <w:rFonts w:ascii="Arial Narrow" w:hAnsi="Arial Narrow"/>
        </w:rPr>
        <w:t>5</w:t>
      </w:r>
      <w:r w:rsidRPr="007B03F8">
        <w:rPr>
          <w:rFonts w:ascii="Arial Narrow" w:hAnsi="Arial Narrow"/>
        </w:rPr>
        <w:t>.  </w:t>
      </w:r>
      <w:r w:rsidR="00CD165E">
        <w:rPr>
          <w:rFonts w:ascii="Arial Narrow" w:hAnsi="Arial Narrow"/>
        </w:rPr>
        <w:t xml:space="preserve">My main concern is the following one. </w:t>
      </w:r>
      <w:r w:rsidR="00CC5E80">
        <w:rPr>
          <w:rFonts w:ascii="Arial Narrow" w:hAnsi="Arial Narrow"/>
        </w:rPr>
        <w:t>Is the obligation</w:t>
      </w:r>
      <w:r w:rsidR="008D4FE1">
        <w:rPr>
          <w:rFonts w:ascii="Arial Narrow" w:hAnsi="Arial Narrow"/>
        </w:rPr>
        <w:t xml:space="preserve"> of </w:t>
      </w:r>
      <w:r w:rsidR="00CC5E80">
        <w:rPr>
          <w:rFonts w:ascii="Arial Narrow" w:hAnsi="Arial Narrow"/>
        </w:rPr>
        <w:t xml:space="preserve">the police to discharge its duty under Articles 2, 3 and 5 § 1 of the Convention to protect the right to life and to bodily security of members of the public radically prevented by the presence of a lawyer? </w:t>
      </w:r>
      <w:r>
        <w:rPr>
          <w:rFonts w:ascii="Arial Narrow" w:hAnsi="Arial Narrow"/>
        </w:rPr>
        <w:t xml:space="preserve">Can one infer that the </w:t>
      </w:r>
      <w:r w:rsidRPr="007B03F8">
        <w:rPr>
          <w:rFonts w:ascii="Arial Narrow" w:hAnsi="Arial Narrow"/>
        </w:rPr>
        <w:t xml:space="preserve">assistance </w:t>
      </w:r>
      <w:r>
        <w:rPr>
          <w:rFonts w:ascii="Arial Narrow" w:hAnsi="Arial Narrow"/>
        </w:rPr>
        <w:t xml:space="preserve">of a lawyer will </w:t>
      </w:r>
      <w:r w:rsidR="00CC5E80">
        <w:rPr>
          <w:rFonts w:ascii="Arial Narrow" w:hAnsi="Arial Narrow"/>
        </w:rPr>
        <w:t xml:space="preserve">put “disproportionate difficulties” in the way of the police authorities </w:t>
      </w:r>
      <w:r w:rsidR="00CC5E80" w:rsidRPr="008D4FE1">
        <w:rPr>
          <w:rFonts w:ascii="Arial Narrow" w:hAnsi="Arial Narrow"/>
        </w:rPr>
        <w:t>in t</w:t>
      </w:r>
      <w:r w:rsidR="00CC5E80">
        <w:rPr>
          <w:rFonts w:ascii="Arial Narrow" w:hAnsi="Arial Narrow"/>
        </w:rPr>
        <w:t>aking effective measures to counter terrorism</w:t>
      </w:r>
      <w:r w:rsidRPr="007B03F8">
        <w:rPr>
          <w:rFonts w:ascii="Arial Narrow" w:hAnsi="Arial Narrow"/>
        </w:rPr>
        <w:t>? “The specific status of lawyers gives them a central position in the administration of justice as intermediaries between the public and the courts. They therefore play a</w:t>
      </w:r>
      <w:r w:rsidR="006E58A3">
        <w:rPr>
          <w:rFonts w:ascii="Arial Narrow" w:hAnsi="Arial Narrow"/>
        </w:rPr>
        <w:t> </w:t>
      </w:r>
      <w:r w:rsidRPr="007B03F8">
        <w:rPr>
          <w:rFonts w:ascii="Arial Narrow" w:hAnsi="Arial Narrow"/>
        </w:rPr>
        <w:t>key role in ensuring that the courts, whose mission is fundamental in a State based o</w:t>
      </w:r>
      <w:r>
        <w:rPr>
          <w:rFonts w:ascii="Arial Narrow" w:hAnsi="Arial Narrow"/>
        </w:rPr>
        <w:t>n the rule of law, enjoy public</w:t>
      </w:r>
      <w:r w:rsidRPr="007B03F8">
        <w:rPr>
          <w:rFonts w:ascii="Arial Narrow" w:hAnsi="Arial Narrow"/>
        </w:rPr>
        <w:t> confidence …”</w:t>
      </w:r>
      <w:r w:rsidRPr="007B03F8">
        <w:rPr>
          <w:rStyle w:val="FootnoteReference"/>
          <w:rFonts w:ascii="Arial Narrow" w:hAnsi="Arial Narrow"/>
        </w:rPr>
        <w:footnoteReference w:id="58"/>
      </w:r>
      <w:r w:rsidRPr="007B03F8">
        <w:rPr>
          <w:rFonts w:ascii="Arial Narrow" w:hAnsi="Arial Narrow"/>
        </w:rPr>
        <w:t>.</w:t>
      </w:r>
      <w:r w:rsidR="00CC5E80">
        <w:rPr>
          <w:rFonts w:ascii="Arial Narrow" w:hAnsi="Arial Narrow"/>
        </w:rPr>
        <w:t xml:space="preserve"> </w:t>
      </w:r>
      <w:r w:rsidR="00CC5E80" w:rsidRPr="00880BC5">
        <w:rPr>
          <w:rFonts w:ascii="Arial Narrow" w:hAnsi="Arial Narrow"/>
        </w:rPr>
        <w:t xml:space="preserve">Furthermore, what is “the very essence of an </w:t>
      </w:r>
      <w:r w:rsidR="008D4FE1" w:rsidRPr="00880BC5">
        <w:rPr>
          <w:rFonts w:ascii="Arial Narrow" w:hAnsi="Arial Narrow"/>
        </w:rPr>
        <w:t>applicant’s defe</w:t>
      </w:r>
      <w:r w:rsidR="006E58A3">
        <w:rPr>
          <w:rFonts w:ascii="Arial Narrow" w:hAnsi="Arial Narrow"/>
        </w:rPr>
        <w:t>nce rights” if </w:t>
      </w:r>
      <w:r w:rsidR="008D4FE1" w:rsidRPr="006F19C8">
        <w:rPr>
          <w:rFonts w:ascii="Arial Narrow" w:hAnsi="Arial Narrow"/>
        </w:rPr>
        <w:t xml:space="preserve">it is not the </w:t>
      </w:r>
      <w:r w:rsidR="00A31FBD" w:rsidRPr="006F19C8">
        <w:rPr>
          <w:rFonts w:ascii="Arial Narrow" w:hAnsi="Arial Narrow"/>
        </w:rPr>
        <w:t xml:space="preserve">assistance, in due time, </w:t>
      </w:r>
      <w:r w:rsidR="008D4FE1" w:rsidRPr="006F19C8">
        <w:rPr>
          <w:rFonts w:ascii="Arial Narrow" w:hAnsi="Arial Narrow"/>
        </w:rPr>
        <w:t>of a lawyer?</w:t>
      </w:r>
    </w:p>
    <w:p w14:paraId="47BC3E71" w14:textId="77777777" w:rsidR="00895297" w:rsidRPr="007B03F8" w:rsidRDefault="00895297" w:rsidP="00895297">
      <w:pPr>
        <w:spacing w:line="480" w:lineRule="auto"/>
        <w:ind w:firstLine="567"/>
        <w:jc w:val="both"/>
        <w:rPr>
          <w:rFonts w:ascii="Arial Narrow" w:hAnsi="Arial Narrow"/>
        </w:rPr>
      </w:pPr>
    </w:p>
    <w:p w14:paraId="1BB44D05" w14:textId="77777777" w:rsidR="00895297" w:rsidRPr="007B03F8" w:rsidRDefault="00895297" w:rsidP="003F0F2F">
      <w:pPr>
        <w:keepNext/>
        <w:keepLines/>
        <w:tabs>
          <w:tab w:val="left" w:pos="993"/>
        </w:tabs>
        <w:spacing w:line="480" w:lineRule="auto"/>
        <w:jc w:val="both"/>
        <w:rPr>
          <w:rFonts w:ascii="Arial Narrow" w:hAnsi="Arial Narrow"/>
          <w:i/>
        </w:rPr>
      </w:pPr>
      <w:r w:rsidRPr="007B03F8">
        <w:rPr>
          <w:rFonts w:ascii="Arial Narrow" w:hAnsi="Arial Narrow"/>
          <w:i/>
        </w:rPr>
        <w:tab/>
      </w:r>
      <w:r>
        <w:rPr>
          <w:rFonts w:ascii="Arial Narrow" w:hAnsi="Arial Narrow"/>
          <w:i/>
        </w:rPr>
        <w:t>The right to respect for private life</w:t>
      </w:r>
    </w:p>
    <w:p w14:paraId="6EFB75BB" w14:textId="77777777" w:rsidR="00895297" w:rsidRPr="007B03F8" w:rsidRDefault="00895297" w:rsidP="00895297">
      <w:pPr>
        <w:spacing w:line="480" w:lineRule="auto"/>
        <w:ind w:firstLine="567"/>
        <w:jc w:val="both"/>
        <w:rPr>
          <w:rFonts w:ascii="Arial Narrow" w:hAnsi="Arial Narrow"/>
        </w:rPr>
      </w:pPr>
    </w:p>
    <w:p w14:paraId="3FE07AA0" w14:textId="530BD198" w:rsidR="00895297" w:rsidRPr="007B03F8" w:rsidRDefault="00895297" w:rsidP="00895297">
      <w:pPr>
        <w:spacing w:line="480" w:lineRule="auto"/>
        <w:ind w:firstLine="567"/>
        <w:jc w:val="both"/>
        <w:rPr>
          <w:rFonts w:ascii="Arial Narrow" w:hAnsi="Arial Narrow"/>
        </w:rPr>
      </w:pPr>
      <w:r>
        <w:rPr>
          <w:rFonts w:ascii="Arial Narrow" w:hAnsi="Arial Narrow"/>
        </w:rPr>
        <w:t>4</w:t>
      </w:r>
      <w:r w:rsidR="008D4FE1">
        <w:rPr>
          <w:rFonts w:ascii="Arial Narrow" w:hAnsi="Arial Narrow"/>
        </w:rPr>
        <w:t>6</w:t>
      </w:r>
      <w:r w:rsidRPr="007B03F8">
        <w:rPr>
          <w:rFonts w:ascii="Arial Narrow" w:hAnsi="Arial Narrow"/>
        </w:rPr>
        <w:t>.  </w:t>
      </w:r>
      <w:r>
        <w:rPr>
          <w:rFonts w:ascii="Arial Narrow" w:hAnsi="Arial Narrow"/>
        </w:rPr>
        <w:t>I shall now turn to the so-called rights with relative protection, where interferences in the exercise of the rights and freedoms are authorised under certain conditions</w:t>
      </w:r>
      <w:r w:rsidRPr="007B03F8">
        <w:rPr>
          <w:rFonts w:ascii="Arial Narrow" w:hAnsi="Arial Narrow"/>
        </w:rPr>
        <w:t xml:space="preserve">. </w:t>
      </w:r>
      <w:r>
        <w:rPr>
          <w:rFonts w:ascii="Arial Narrow" w:hAnsi="Arial Narrow"/>
        </w:rPr>
        <w:t>The right to thought, conscience and religion (Article 9 of the European Convention on Human Rights</w:t>
      </w:r>
      <w:r w:rsidRPr="007B03F8">
        <w:rPr>
          <w:rFonts w:ascii="Arial Narrow" w:hAnsi="Arial Narrow"/>
        </w:rPr>
        <w:t xml:space="preserve">), </w:t>
      </w:r>
      <w:r>
        <w:rPr>
          <w:rFonts w:ascii="Arial Narrow" w:hAnsi="Arial Narrow"/>
        </w:rPr>
        <w:t>freedom of expression</w:t>
      </w:r>
      <w:r w:rsidRPr="007B03F8">
        <w:rPr>
          <w:rFonts w:ascii="Arial Narrow" w:hAnsi="Arial Narrow"/>
        </w:rPr>
        <w:t xml:space="preserve"> (</w:t>
      </w:r>
      <w:r>
        <w:rPr>
          <w:rFonts w:ascii="Arial Narrow" w:hAnsi="Arial Narrow"/>
        </w:rPr>
        <w:t>Article</w:t>
      </w:r>
      <w:r w:rsidRPr="007B03F8">
        <w:rPr>
          <w:rFonts w:ascii="Arial Narrow" w:hAnsi="Arial Narrow"/>
        </w:rPr>
        <w:t xml:space="preserve"> 10), </w:t>
      </w:r>
      <w:r>
        <w:rPr>
          <w:rFonts w:ascii="Arial Narrow" w:hAnsi="Arial Narrow"/>
        </w:rPr>
        <w:t>freedom of assembly and association (Article</w:t>
      </w:r>
      <w:r w:rsidRPr="007B03F8">
        <w:rPr>
          <w:rFonts w:ascii="Arial Narrow" w:hAnsi="Arial Narrow"/>
        </w:rPr>
        <w:t xml:space="preserve"> 11) </w:t>
      </w:r>
      <w:r>
        <w:rPr>
          <w:rFonts w:ascii="Arial Narrow" w:hAnsi="Arial Narrow"/>
        </w:rPr>
        <w:t>are rights that are very often involved in the case of terrorism. I am thinking, for example, to hate speech</w:t>
      </w:r>
      <w:r w:rsidRPr="007B03F8">
        <w:rPr>
          <w:rStyle w:val="FootnoteReference"/>
          <w:rFonts w:ascii="Arial Narrow" w:hAnsi="Arial Narrow"/>
        </w:rPr>
        <w:footnoteReference w:id="59"/>
      </w:r>
      <w:r w:rsidRPr="007B03F8">
        <w:rPr>
          <w:rFonts w:ascii="Arial Narrow" w:hAnsi="Arial Narrow"/>
        </w:rPr>
        <w:t xml:space="preserve"> </w:t>
      </w:r>
      <w:r>
        <w:rPr>
          <w:rFonts w:ascii="Arial Narrow" w:hAnsi="Arial Narrow"/>
        </w:rPr>
        <w:t>or apology of terrorism</w:t>
      </w:r>
      <w:r w:rsidRPr="007B03F8">
        <w:rPr>
          <w:rFonts w:ascii="Arial Narrow" w:hAnsi="Arial Narrow"/>
        </w:rPr>
        <w:t xml:space="preserve">. </w:t>
      </w:r>
    </w:p>
    <w:p w14:paraId="21CD10FC" w14:textId="77777777" w:rsidR="00895297" w:rsidRPr="007B03F8" w:rsidRDefault="00895297" w:rsidP="00895297">
      <w:pPr>
        <w:spacing w:line="480" w:lineRule="auto"/>
        <w:ind w:firstLine="567"/>
        <w:jc w:val="both"/>
        <w:rPr>
          <w:rFonts w:ascii="Arial Narrow" w:hAnsi="Arial Narrow"/>
        </w:rPr>
      </w:pPr>
    </w:p>
    <w:p w14:paraId="53116A9D" w14:textId="1DB42489" w:rsidR="00895297" w:rsidRPr="007B03F8" w:rsidRDefault="00895297" w:rsidP="00895297">
      <w:pPr>
        <w:spacing w:line="480" w:lineRule="auto"/>
        <w:ind w:firstLine="567"/>
        <w:jc w:val="both"/>
        <w:rPr>
          <w:rFonts w:ascii="Arial Narrow" w:hAnsi="Arial Narrow"/>
        </w:rPr>
      </w:pPr>
      <w:r>
        <w:rPr>
          <w:rFonts w:ascii="Arial Narrow" w:hAnsi="Arial Narrow"/>
        </w:rPr>
        <w:t>4</w:t>
      </w:r>
      <w:r w:rsidR="008D4FE1">
        <w:rPr>
          <w:rFonts w:ascii="Arial Narrow" w:hAnsi="Arial Narrow"/>
        </w:rPr>
        <w:t>7</w:t>
      </w:r>
      <w:r w:rsidRPr="007B03F8">
        <w:rPr>
          <w:rFonts w:ascii="Arial Narrow" w:hAnsi="Arial Narrow"/>
        </w:rPr>
        <w:t>.  </w:t>
      </w:r>
      <w:r>
        <w:rPr>
          <w:rFonts w:ascii="Arial Narrow" w:hAnsi="Arial Narrow"/>
        </w:rPr>
        <w:t>I will however restrict myself to the right of respect for private and family life guaranteed by A</w:t>
      </w:r>
      <w:r w:rsidRPr="007B03F8">
        <w:rPr>
          <w:rFonts w:ascii="Arial Narrow" w:hAnsi="Arial Narrow"/>
        </w:rPr>
        <w:t xml:space="preserve">rticle 8 </w:t>
      </w:r>
      <w:r>
        <w:rPr>
          <w:rFonts w:ascii="Arial Narrow" w:hAnsi="Arial Narrow"/>
        </w:rPr>
        <w:t>of the</w:t>
      </w:r>
      <w:r w:rsidRPr="007B03F8">
        <w:rPr>
          <w:rFonts w:ascii="Arial Narrow" w:hAnsi="Arial Narrow"/>
        </w:rPr>
        <w:t xml:space="preserve"> Convention.</w:t>
      </w:r>
      <w:r>
        <w:rPr>
          <w:rFonts w:ascii="Arial Narrow" w:hAnsi="Arial Narrow"/>
        </w:rPr>
        <w:t xml:space="preserve"> We are facing the critical importance of intelligence activities in the fight against terrorism </w:t>
      </w:r>
      <w:r w:rsidRPr="007B03F8">
        <w:rPr>
          <w:rFonts w:ascii="Arial Narrow" w:hAnsi="Arial Narrow"/>
        </w:rPr>
        <w:t>(</w:t>
      </w:r>
      <w:r>
        <w:rPr>
          <w:rFonts w:ascii="Arial Narrow" w:hAnsi="Arial Narrow"/>
        </w:rPr>
        <w:t>identification and</w:t>
      </w:r>
      <w:r w:rsidRPr="007B03F8">
        <w:rPr>
          <w:rFonts w:ascii="Arial Narrow" w:hAnsi="Arial Narrow"/>
        </w:rPr>
        <w:t xml:space="preserve"> interception </w:t>
      </w:r>
      <w:r>
        <w:rPr>
          <w:rFonts w:ascii="Arial Narrow" w:hAnsi="Arial Narrow"/>
        </w:rPr>
        <w:t>of</w:t>
      </w:r>
      <w:r w:rsidRPr="007B03F8">
        <w:rPr>
          <w:rFonts w:ascii="Arial Narrow" w:hAnsi="Arial Narrow"/>
        </w:rPr>
        <w:t xml:space="preserve"> communications, observation, </w:t>
      </w:r>
      <w:r>
        <w:rPr>
          <w:rFonts w:ascii="Arial Narrow" w:hAnsi="Arial Narrow"/>
        </w:rPr>
        <w:t>a.s.o.</w:t>
      </w:r>
      <w:r w:rsidRPr="007B03F8">
        <w:rPr>
          <w:rFonts w:ascii="Arial Narrow" w:hAnsi="Arial Narrow"/>
        </w:rPr>
        <w:t xml:space="preserve">) </w:t>
      </w:r>
      <w:r>
        <w:rPr>
          <w:rFonts w:ascii="Arial Narrow" w:hAnsi="Arial Narrow"/>
        </w:rPr>
        <w:t xml:space="preserve">because the ability of States’ </w:t>
      </w:r>
      <w:r w:rsidRPr="00590F8A">
        <w:rPr>
          <w:rFonts w:ascii="Arial Narrow" w:hAnsi="Arial Narrow"/>
        </w:rPr>
        <w:t xml:space="preserve">security services </w:t>
      </w:r>
      <w:r>
        <w:rPr>
          <w:rFonts w:ascii="Arial Narrow" w:hAnsi="Arial Narrow"/>
        </w:rPr>
        <w:t>to prevent terrorist attacks quite often depends on the quality of information they have available</w:t>
      </w:r>
      <w:r w:rsidRPr="007B03F8">
        <w:rPr>
          <w:rFonts w:ascii="Arial Narrow" w:hAnsi="Arial Narrow"/>
        </w:rPr>
        <w:t xml:space="preserve">. </w:t>
      </w:r>
      <w:r>
        <w:rPr>
          <w:rFonts w:ascii="Arial Narrow" w:hAnsi="Arial Narrow"/>
        </w:rPr>
        <w:t>States’ interferences in the exercise of this right are subject to a three-fold condition</w:t>
      </w:r>
      <w:r w:rsidR="008D4FE1">
        <w:rPr>
          <w:rFonts w:ascii="Arial Narrow" w:hAnsi="Arial Narrow"/>
        </w:rPr>
        <w:t xml:space="preserve"> (foreseen by the law, pursuing a legitimate aim and necessary in a democratic society) </w:t>
      </w:r>
      <w:r>
        <w:rPr>
          <w:rFonts w:ascii="Arial Narrow" w:hAnsi="Arial Narrow"/>
        </w:rPr>
        <w:t>and, therefore</w:t>
      </w:r>
      <w:r w:rsidRPr="007B03F8">
        <w:rPr>
          <w:rFonts w:ascii="Arial Narrow" w:hAnsi="Arial Narrow"/>
        </w:rPr>
        <w:t xml:space="preserve">, </w:t>
      </w:r>
      <w:r w:rsidRPr="0065684A">
        <w:rPr>
          <w:rFonts w:ascii="Arial Narrow" w:hAnsi="Arial Narrow"/>
        </w:rPr>
        <w:t>a rigorous methodology</w:t>
      </w:r>
      <w:r>
        <w:rPr>
          <w:rFonts w:ascii="Arial Narrow" w:hAnsi="Arial Narrow"/>
        </w:rPr>
        <w:t xml:space="preserve"> is necessary during the concrete examination of each case</w:t>
      </w:r>
      <w:r w:rsidRPr="007B03F8">
        <w:rPr>
          <w:rFonts w:ascii="Arial Narrow" w:hAnsi="Arial Narrow"/>
        </w:rPr>
        <w:t>.</w:t>
      </w:r>
    </w:p>
    <w:p w14:paraId="5E33E56C" w14:textId="77777777" w:rsidR="00895297" w:rsidRPr="007B03F8" w:rsidRDefault="00895297" w:rsidP="00895297">
      <w:pPr>
        <w:spacing w:line="480" w:lineRule="auto"/>
        <w:ind w:firstLine="567"/>
        <w:jc w:val="both"/>
        <w:rPr>
          <w:rFonts w:ascii="Arial Narrow" w:hAnsi="Arial Narrow"/>
        </w:rPr>
      </w:pPr>
    </w:p>
    <w:p w14:paraId="07F538A7" w14:textId="16C2FDF4" w:rsidR="00895297" w:rsidRPr="007B03F8" w:rsidRDefault="00895297" w:rsidP="00895297">
      <w:pPr>
        <w:spacing w:line="480" w:lineRule="auto"/>
        <w:ind w:firstLine="567"/>
        <w:jc w:val="both"/>
        <w:rPr>
          <w:rFonts w:ascii="Arial Narrow" w:hAnsi="Arial Narrow"/>
        </w:rPr>
      </w:pPr>
      <w:r>
        <w:rPr>
          <w:rFonts w:ascii="Arial Narrow" w:hAnsi="Arial Narrow"/>
        </w:rPr>
        <w:t>4</w:t>
      </w:r>
      <w:r w:rsidR="008D4FE1">
        <w:rPr>
          <w:rFonts w:ascii="Arial Narrow" w:hAnsi="Arial Narrow"/>
        </w:rPr>
        <w:t>8</w:t>
      </w:r>
      <w:r w:rsidRPr="007B03F8">
        <w:rPr>
          <w:rFonts w:ascii="Arial Narrow" w:hAnsi="Arial Narrow"/>
        </w:rPr>
        <w:t>.  </w:t>
      </w:r>
      <w:r>
        <w:rPr>
          <w:rFonts w:ascii="Arial Narrow" w:hAnsi="Arial Narrow"/>
        </w:rPr>
        <w:t>In this respect</w:t>
      </w:r>
      <w:r w:rsidRPr="007B03F8">
        <w:rPr>
          <w:rFonts w:ascii="Arial Narrow" w:hAnsi="Arial Narrow"/>
        </w:rPr>
        <w:t>,</w:t>
      </w:r>
      <w:r>
        <w:rPr>
          <w:rFonts w:ascii="Arial Narrow" w:hAnsi="Arial Narrow"/>
        </w:rPr>
        <w:t xml:space="preserve"> interferences must be provided for by the law</w:t>
      </w:r>
      <w:r w:rsidRPr="007B03F8">
        <w:rPr>
          <w:rFonts w:ascii="Arial Narrow" w:hAnsi="Arial Narrow"/>
        </w:rPr>
        <w:t>,</w:t>
      </w:r>
      <w:r>
        <w:rPr>
          <w:rFonts w:ascii="Arial Narrow" w:hAnsi="Arial Narrow"/>
        </w:rPr>
        <w:t xml:space="preserve"> which corresponds to a basic democratic requirement</w:t>
      </w:r>
      <w:r w:rsidRPr="007B03F8">
        <w:rPr>
          <w:rFonts w:ascii="Arial Narrow" w:hAnsi="Arial Narrow"/>
        </w:rPr>
        <w:t xml:space="preserve">. </w:t>
      </w:r>
      <w:r>
        <w:rPr>
          <w:rFonts w:ascii="Arial Narrow" w:hAnsi="Arial Narrow"/>
        </w:rPr>
        <w:t xml:space="preserve">States cannot act on the basis of vague legal provisions. </w:t>
      </w:r>
      <w:r w:rsidRPr="00284582">
        <w:rPr>
          <w:rFonts w:ascii="Arial Narrow" w:hAnsi="Arial Narrow"/>
        </w:rPr>
        <w:t xml:space="preserve">Under the guise of combating </w:t>
      </w:r>
      <w:r>
        <w:rPr>
          <w:rFonts w:ascii="Arial Narrow" w:hAnsi="Arial Narrow"/>
        </w:rPr>
        <w:t>terrorism</w:t>
      </w:r>
      <w:r w:rsidRPr="007B03F8">
        <w:rPr>
          <w:rFonts w:ascii="Arial Narrow" w:hAnsi="Arial Narrow"/>
        </w:rPr>
        <w:t>,</w:t>
      </w:r>
      <w:r>
        <w:rPr>
          <w:rFonts w:ascii="Arial Narrow" w:hAnsi="Arial Narrow"/>
        </w:rPr>
        <w:t xml:space="preserve"> no other forms of crime can be included. “D</w:t>
      </w:r>
      <w:r w:rsidRPr="00284582">
        <w:rPr>
          <w:rFonts w:ascii="Arial Narrow" w:hAnsi="Arial Narrow"/>
        </w:rPr>
        <w:t>ead-weight effec</w:t>
      </w:r>
      <w:r>
        <w:rPr>
          <w:rFonts w:ascii="Arial Narrow" w:hAnsi="Arial Narrow"/>
        </w:rPr>
        <w:t>t”</w:t>
      </w:r>
      <w:r w:rsidR="00CD165E">
        <w:rPr>
          <w:rFonts w:ascii="Arial Narrow" w:hAnsi="Arial Narrow"/>
        </w:rPr>
        <w:t xml:space="preserve"> (</w:t>
      </w:r>
      <w:r w:rsidR="00CD165E" w:rsidRPr="00CD165E">
        <w:rPr>
          <w:rFonts w:ascii="Arial Narrow" w:hAnsi="Arial Narrow"/>
          <w:i/>
        </w:rPr>
        <w:t>l’effet d’aubaine</w:t>
      </w:r>
      <w:r w:rsidR="00CD165E">
        <w:rPr>
          <w:rFonts w:ascii="Arial Narrow" w:hAnsi="Arial Narrow"/>
        </w:rPr>
        <w:t>)</w:t>
      </w:r>
      <w:r>
        <w:rPr>
          <w:rFonts w:ascii="Arial Narrow" w:hAnsi="Arial Narrow"/>
        </w:rPr>
        <w:t xml:space="preserve"> refers to this extension of the scope of counter-terrorism measures/strategies beyond their area of origin</w:t>
      </w:r>
      <w:r w:rsidRPr="007B03F8">
        <w:rPr>
          <w:rStyle w:val="FootnoteReference"/>
          <w:rFonts w:ascii="Arial Narrow" w:hAnsi="Arial Narrow"/>
        </w:rPr>
        <w:footnoteReference w:id="60"/>
      </w:r>
      <w:r w:rsidRPr="007B03F8">
        <w:rPr>
          <w:rFonts w:ascii="Arial Narrow" w:hAnsi="Arial Narrow"/>
        </w:rPr>
        <w:t xml:space="preserve">. </w:t>
      </w:r>
      <w:r>
        <w:rPr>
          <w:rFonts w:ascii="Arial Narrow" w:hAnsi="Arial Narrow"/>
        </w:rPr>
        <w:t>So, for instance, in the</w:t>
      </w:r>
      <w:r w:rsidRPr="007B03F8">
        <w:rPr>
          <w:rFonts w:ascii="Arial Narrow" w:hAnsi="Arial Narrow"/>
        </w:rPr>
        <w:t xml:space="preserve"> </w:t>
      </w:r>
      <w:r w:rsidRPr="007B03F8">
        <w:rPr>
          <w:rFonts w:ascii="Arial Narrow" w:hAnsi="Arial Narrow"/>
          <w:i/>
        </w:rPr>
        <w:t xml:space="preserve">Gillan </w:t>
      </w:r>
      <w:r>
        <w:rPr>
          <w:rFonts w:ascii="Arial Narrow" w:hAnsi="Arial Narrow"/>
          <w:i/>
        </w:rPr>
        <w:t>and</w:t>
      </w:r>
      <w:r w:rsidRPr="007B03F8">
        <w:rPr>
          <w:rFonts w:ascii="Arial Narrow" w:hAnsi="Arial Narrow"/>
          <w:i/>
        </w:rPr>
        <w:t xml:space="preserve"> Quinton </w:t>
      </w:r>
      <w:r>
        <w:rPr>
          <w:rFonts w:ascii="Arial Narrow" w:hAnsi="Arial Narrow"/>
          <w:i/>
        </w:rPr>
        <w:t>v. the United Kingdom</w:t>
      </w:r>
      <w:r w:rsidRPr="007B03F8">
        <w:rPr>
          <w:rFonts w:ascii="Arial Narrow" w:hAnsi="Arial Narrow"/>
          <w:i/>
        </w:rPr>
        <w:t xml:space="preserve"> </w:t>
      </w:r>
      <w:r w:rsidRPr="003712FB">
        <w:rPr>
          <w:rFonts w:ascii="Arial Narrow" w:hAnsi="Arial Narrow"/>
        </w:rPr>
        <w:t xml:space="preserve">judgment </w:t>
      </w:r>
      <w:r>
        <w:rPr>
          <w:rFonts w:ascii="Arial Narrow" w:hAnsi="Arial Narrow"/>
        </w:rPr>
        <w:t>of 12 January</w:t>
      </w:r>
      <w:r w:rsidRPr="007B03F8">
        <w:rPr>
          <w:rFonts w:ascii="Arial Narrow" w:hAnsi="Arial Narrow"/>
        </w:rPr>
        <w:t xml:space="preserve"> 2010</w:t>
      </w:r>
      <w:r>
        <w:rPr>
          <w:rFonts w:ascii="Arial Narrow" w:hAnsi="Arial Narrow"/>
        </w:rPr>
        <w:t xml:space="preserve">, which </w:t>
      </w:r>
      <w:r w:rsidRPr="003C268A">
        <w:rPr>
          <w:rFonts w:ascii="Arial Narrow" w:hAnsi="Arial Narrow"/>
        </w:rPr>
        <w:t>concerned the police power under sections 44-47 of the Terrorism Act 2000 to stop and search individuals without reasonable suspicion of wrongdoing</w:t>
      </w:r>
      <w:r>
        <w:rPr>
          <w:rFonts w:ascii="Arial Narrow" w:hAnsi="Arial Narrow"/>
        </w:rPr>
        <w:t>, the Court found</w:t>
      </w:r>
      <w:r w:rsidRPr="003C268A">
        <w:rPr>
          <w:rFonts w:ascii="Arial Narrow" w:hAnsi="Arial Narrow"/>
        </w:rPr>
        <w:t xml:space="preserve"> that </w:t>
      </w:r>
      <w:r>
        <w:rPr>
          <w:rFonts w:ascii="Arial Narrow" w:hAnsi="Arial Narrow"/>
        </w:rPr>
        <w:t>some provisions of</w:t>
      </w:r>
      <w:r w:rsidRPr="003C268A">
        <w:rPr>
          <w:rFonts w:ascii="Arial Narrow" w:hAnsi="Arial Narrow"/>
        </w:rPr>
        <w:t xml:space="preserve"> the 2000 Act were neither sufficiently circumscribed nor subject to adequate</w:t>
      </w:r>
      <w:r>
        <w:rPr>
          <w:rFonts w:ascii="Arial Narrow" w:hAnsi="Arial Narrow"/>
        </w:rPr>
        <w:t xml:space="preserve"> legal safeguards against abuse</w:t>
      </w:r>
      <w:r w:rsidRPr="003C268A">
        <w:rPr>
          <w:rFonts w:ascii="Arial Narrow" w:hAnsi="Arial Narrow"/>
        </w:rPr>
        <w:t>,</w:t>
      </w:r>
      <w:r>
        <w:rPr>
          <w:rFonts w:ascii="Arial Narrow" w:hAnsi="Arial Narrow"/>
        </w:rPr>
        <w:t xml:space="preserve"> so that the interference with Article 8 of the Convention had not been in accordance with the</w:t>
      </w:r>
      <w:r w:rsidRPr="007B03F8">
        <w:rPr>
          <w:rFonts w:ascii="Arial Narrow" w:hAnsi="Arial Narrow"/>
        </w:rPr>
        <w:t> </w:t>
      </w:r>
      <w:r w:rsidRPr="003C268A">
        <w:rPr>
          <w:rFonts w:ascii="Arial Narrow" w:hAnsi="Arial Narrow"/>
        </w:rPr>
        <w:t>law.</w:t>
      </w:r>
      <w:r w:rsidRPr="007B03F8">
        <w:rPr>
          <w:rStyle w:val="FootnoteReference"/>
          <w:rFonts w:ascii="Arial Narrow" w:hAnsi="Arial Narrow"/>
        </w:rPr>
        <w:footnoteReference w:id="61"/>
      </w:r>
      <w:r w:rsidRPr="007B03F8">
        <w:rPr>
          <w:rFonts w:ascii="Arial Narrow" w:hAnsi="Arial Narrow"/>
        </w:rPr>
        <w:t xml:space="preserve">. </w:t>
      </w:r>
      <w:r>
        <w:rPr>
          <w:rFonts w:ascii="Arial Narrow" w:hAnsi="Arial Narrow"/>
        </w:rPr>
        <w:t>The</w:t>
      </w:r>
      <w:r w:rsidRPr="007B03F8">
        <w:rPr>
          <w:rFonts w:ascii="Arial Narrow" w:hAnsi="Arial Narrow"/>
        </w:rPr>
        <w:t xml:space="preserve"> </w:t>
      </w:r>
      <w:r>
        <w:rPr>
          <w:rFonts w:ascii="Arial Narrow" w:hAnsi="Arial Narrow"/>
        </w:rPr>
        <w:t xml:space="preserve">application in the case of </w:t>
      </w:r>
      <w:r w:rsidRPr="007B03F8">
        <w:rPr>
          <w:rFonts w:ascii="Arial Narrow" w:hAnsi="Arial Narrow"/>
          <w:i/>
        </w:rPr>
        <w:t xml:space="preserve">Sylvie Beghal </w:t>
      </w:r>
      <w:r>
        <w:rPr>
          <w:rFonts w:ascii="Arial Narrow" w:hAnsi="Arial Narrow"/>
          <w:i/>
        </w:rPr>
        <w:t>v</w:t>
      </w:r>
      <w:r w:rsidRPr="007B03F8">
        <w:rPr>
          <w:rFonts w:ascii="Arial Narrow" w:hAnsi="Arial Narrow"/>
          <w:i/>
        </w:rPr>
        <w:t xml:space="preserve">. </w:t>
      </w:r>
      <w:r>
        <w:rPr>
          <w:rFonts w:ascii="Arial Narrow" w:hAnsi="Arial Narrow"/>
          <w:i/>
        </w:rPr>
        <w:t>the United Kingdom</w:t>
      </w:r>
      <w:r w:rsidRPr="007B03F8">
        <w:rPr>
          <w:rFonts w:ascii="Arial Narrow" w:hAnsi="Arial Narrow"/>
        </w:rPr>
        <w:t xml:space="preserve"> </w:t>
      </w:r>
      <w:r>
        <w:rPr>
          <w:rFonts w:ascii="Arial Narrow" w:hAnsi="Arial Narrow"/>
        </w:rPr>
        <w:t>which was lodged before the European Court of Human Rights on</w:t>
      </w:r>
      <w:r w:rsidRPr="007B03F8">
        <w:rPr>
          <w:rFonts w:ascii="Arial Narrow" w:hAnsi="Arial Narrow"/>
        </w:rPr>
        <w:t xml:space="preserve"> 14 </w:t>
      </w:r>
      <w:r>
        <w:rPr>
          <w:rFonts w:ascii="Arial Narrow" w:hAnsi="Arial Narrow"/>
        </w:rPr>
        <w:t>January</w:t>
      </w:r>
      <w:r w:rsidRPr="007B03F8">
        <w:rPr>
          <w:rFonts w:ascii="Arial Narrow" w:hAnsi="Arial Narrow"/>
        </w:rPr>
        <w:t xml:space="preserve"> 2016 </w:t>
      </w:r>
      <w:r>
        <w:rPr>
          <w:rFonts w:ascii="Arial Narrow" w:hAnsi="Arial Narrow"/>
        </w:rPr>
        <w:t>and communicated to the UK Government</w:t>
      </w:r>
      <w:r w:rsidRPr="007B03F8">
        <w:rPr>
          <w:rFonts w:ascii="Arial Narrow" w:hAnsi="Arial Narrow"/>
        </w:rPr>
        <w:t xml:space="preserve"> </w:t>
      </w:r>
      <w:r>
        <w:rPr>
          <w:rFonts w:ascii="Arial Narrow" w:hAnsi="Arial Narrow"/>
        </w:rPr>
        <w:t>on </w:t>
      </w:r>
      <w:r w:rsidRPr="007B03F8">
        <w:rPr>
          <w:rFonts w:ascii="Arial Narrow" w:hAnsi="Arial Narrow"/>
        </w:rPr>
        <w:t xml:space="preserve">22 </w:t>
      </w:r>
      <w:r>
        <w:rPr>
          <w:rFonts w:ascii="Arial Narrow" w:hAnsi="Arial Narrow"/>
        </w:rPr>
        <w:t>April</w:t>
      </w:r>
      <w:r w:rsidRPr="007B03F8">
        <w:rPr>
          <w:rFonts w:ascii="Arial Narrow" w:hAnsi="Arial Narrow"/>
        </w:rPr>
        <w:t xml:space="preserve"> 2016 </w:t>
      </w:r>
      <w:r>
        <w:rPr>
          <w:rFonts w:ascii="Arial Narrow" w:hAnsi="Arial Narrow"/>
        </w:rPr>
        <w:t xml:space="preserve">raises the same question in the context of </w:t>
      </w:r>
      <w:r w:rsidRPr="003525EA">
        <w:rPr>
          <w:rFonts w:ascii="Arial Narrow" w:hAnsi="Arial Narrow"/>
        </w:rPr>
        <w:t>Schedule 7 to the Terrorism Act 2000</w:t>
      </w:r>
      <w:r>
        <w:rPr>
          <w:rFonts w:ascii="Arial Narrow" w:hAnsi="Arial Narrow"/>
        </w:rPr>
        <w:t xml:space="preserve"> which</w:t>
      </w:r>
      <w:r w:rsidRPr="007B03F8">
        <w:rPr>
          <w:rFonts w:ascii="Arial Narrow" w:hAnsi="Arial Narrow"/>
        </w:rPr>
        <w:t xml:space="preserve">, </w:t>
      </w:r>
      <w:r>
        <w:rPr>
          <w:rFonts w:ascii="Arial Narrow" w:hAnsi="Arial Narrow"/>
        </w:rPr>
        <w:t xml:space="preserve">without prior authorisation, </w:t>
      </w:r>
      <w:r w:rsidRPr="003525EA">
        <w:rPr>
          <w:rFonts w:ascii="Arial Narrow" w:hAnsi="Arial Narrow"/>
        </w:rPr>
        <w:t>empowers police, immigration officers and designated customs officers to stop, examine and search passengers at ports, airports and international rail terminals</w:t>
      </w:r>
      <w:r w:rsidRPr="007B03F8">
        <w:rPr>
          <w:rFonts w:ascii="Arial Narrow" w:hAnsi="Arial Narrow"/>
        </w:rPr>
        <w:t xml:space="preserve">. </w:t>
      </w:r>
    </w:p>
    <w:p w14:paraId="658B1F08" w14:textId="77777777" w:rsidR="00895297" w:rsidRPr="007B03F8" w:rsidRDefault="00895297" w:rsidP="00895297">
      <w:pPr>
        <w:spacing w:line="480" w:lineRule="auto"/>
        <w:ind w:firstLine="567"/>
        <w:jc w:val="both"/>
        <w:rPr>
          <w:rFonts w:ascii="Arial Narrow" w:hAnsi="Arial Narrow"/>
        </w:rPr>
      </w:pPr>
    </w:p>
    <w:p w14:paraId="253250DF" w14:textId="790B1ACC" w:rsidR="00895297" w:rsidRPr="007B03F8" w:rsidRDefault="008D4FE1" w:rsidP="00895297">
      <w:pPr>
        <w:spacing w:line="480" w:lineRule="auto"/>
        <w:ind w:firstLine="720"/>
        <w:jc w:val="both"/>
        <w:rPr>
          <w:rFonts w:ascii="Arial Narrow" w:hAnsi="Arial Narrow"/>
        </w:rPr>
      </w:pPr>
      <w:r>
        <w:rPr>
          <w:rFonts w:ascii="Arial Narrow" w:hAnsi="Arial Narrow"/>
        </w:rPr>
        <w:t>49</w:t>
      </w:r>
      <w:r w:rsidR="00895297" w:rsidRPr="007B03F8">
        <w:rPr>
          <w:rFonts w:ascii="Arial Narrow" w:hAnsi="Arial Narrow"/>
        </w:rPr>
        <w:t>.  </w:t>
      </w:r>
      <w:r w:rsidR="00895297">
        <w:rPr>
          <w:rFonts w:ascii="Arial Narrow" w:hAnsi="Arial Narrow"/>
        </w:rPr>
        <w:t>Interferences must also pursue a legitimate aim which</w:t>
      </w:r>
      <w:r w:rsidR="00895297" w:rsidRPr="007B03F8">
        <w:rPr>
          <w:rFonts w:ascii="Arial Narrow" w:hAnsi="Arial Narrow"/>
        </w:rPr>
        <w:t>,</w:t>
      </w:r>
      <w:r w:rsidR="00895297">
        <w:rPr>
          <w:rFonts w:ascii="Arial Narrow" w:hAnsi="Arial Narrow"/>
        </w:rPr>
        <w:t xml:space="preserve"> in the case of terrorism, will most often be national security and the protection of the rights and freedom of others</w:t>
      </w:r>
      <w:r w:rsidR="00895297" w:rsidRPr="007B03F8">
        <w:rPr>
          <w:rFonts w:ascii="Arial Narrow" w:hAnsi="Arial Narrow"/>
        </w:rPr>
        <w:t>.</w:t>
      </w:r>
      <w:r w:rsidR="00895297">
        <w:rPr>
          <w:rFonts w:ascii="Arial Narrow" w:hAnsi="Arial Narrow"/>
        </w:rPr>
        <w:t xml:space="preserve"> These aims must be clearly defined</w:t>
      </w:r>
      <w:r w:rsidR="00895297" w:rsidRPr="007B03F8">
        <w:rPr>
          <w:rFonts w:ascii="Arial Narrow" w:hAnsi="Arial Narrow"/>
        </w:rPr>
        <w:t>.</w:t>
      </w:r>
      <w:r w:rsidR="00895297">
        <w:rPr>
          <w:rFonts w:ascii="Arial Narrow" w:hAnsi="Arial Narrow"/>
        </w:rPr>
        <w:t xml:space="preserve"> However, the Court will rarely question the evaluation by the States, which are thus entitled a</w:t>
      </w:r>
      <w:r w:rsidR="00895297" w:rsidRPr="00435832">
        <w:rPr>
          <w:rFonts w:ascii="Arial Narrow" w:hAnsi="Arial Narrow"/>
        </w:rPr>
        <w:t xml:space="preserve"> wide margin of appreciatio</w:t>
      </w:r>
      <w:r w:rsidR="00895297">
        <w:rPr>
          <w:rFonts w:ascii="Arial Narrow" w:hAnsi="Arial Narrow"/>
        </w:rPr>
        <w:t xml:space="preserve">n </w:t>
      </w:r>
      <w:r w:rsidR="00895297" w:rsidRPr="00435832">
        <w:rPr>
          <w:rFonts w:ascii="Arial Narrow" w:hAnsi="Arial Narrow"/>
        </w:rPr>
        <w:t xml:space="preserve">as to the existence of a situation </w:t>
      </w:r>
      <w:r w:rsidR="00895297" w:rsidRPr="00E90AF6">
        <w:rPr>
          <w:rFonts w:ascii="Arial Narrow" w:hAnsi="Arial Narrow"/>
        </w:rPr>
        <w:t>affecting national security</w:t>
      </w:r>
      <w:r w:rsidR="00895297" w:rsidRPr="007B03F8">
        <w:rPr>
          <w:rFonts w:ascii="Arial Narrow" w:hAnsi="Arial Narrow"/>
        </w:rPr>
        <w:t xml:space="preserve">. </w:t>
      </w:r>
    </w:p>
    <w:p w14:paraId="1655421F" w14:textId="77777777" w:rsidR="00895297" w:rsidRPr="007B03F8" w:rsidRDefault="00895297" w:rsidP="00895297">
      <w:pPr>
        <w:spacing w:line="480" w:lineRule="auto"/>
        <w:ind w:firstLine="720"/>
        <w:jc w:val="both"/>
        <w:rPr>
          <w:rFonts w:ascii="Arial Narrow" w:hAnsi="Arial Narrow"/>
        </w:rPr>
      </w:pPr>
    </w:p>
    <w:p w14:paraId="5FD66132" w14:textId="0AAF35CE" w:rsidR="00895297" w:rsidRPr="007B03F8" w:rsidRDefault="008D4FE1" w:rsidP="00895297">
      <w:pPr>
        <w:spacing w:line="480" w:lineRule="auto"/>
        <w:ind w:firstLine="720"/>
        <w:jc w:val="both"/>
        <w:rPr>
          <w:rFonts w:ascii="Arial Narrow" w:hAnsi="Arial Narrow"/>
        </w:rPr>
      </w:pPr>
      <w:r>
        <w:rPr>
          <w:rFonts w:ascii="Arial Narrow" w:hAnsi="Arial Narrow"/>
        </w:rPr>
        <w:t>50</w:t>
      </w:r>
      <w:r w:rsidR="00895297" w:rsidRPr="007B03F8">
        <w:rPr>
          <w:rFonts w:ascii="Arial Narrow" w:hAnsi="Arial Narrow"/>
        </w:rPr>
        <w:t>.  </w:t>
      </w:r>
      <w:r w:rsidR="00895297">
        <w:rPr>
          <w:rFonts w:ascii="Arial Narrow" w:hAnsi="Arial Narrow"/>
        </w:rPr>
        <w:t>Lastly</w:t>
      </w:r>
      <w:r w:rsidR="00895297" w:rsidRPr="007B03F8">
        <w:rPr>
          <w:rFonts w:ascii="Arial Narrow" w:hAnsi="Arial Narrow"/>
        </w:rPr>
        <w:t>,</w:t>
      </w:r>
      <w:r w:rsidR="00895297">
        <w:rPr>
          <w:rFonts w:ascii="Arial Narrow" w:hAnsi="Arial Narrow"/>
        </w:rPr>
        <w:t xml:space="preserve"> interferences must be necessary in a democratic society </w:t>
      </w:r>
      <w:r w:rsidR="00895297" w:rsidRPr="007B03F8">
        <w:rPr>
          <w:rFonts w:ascii="Arial Narrow" w:hAnsi="Arial Narrow"/>
        </w:rPr>
        <w:t xml:space="preserve">to achieve the legitimate aims pursued. </w:t>
      </w:r>
      <w:r w:rsidR="00895297">
        <w:rPr>
          <w:rFonts w:ascii="Arial Narrow" w:hAnsi="Arial Narrow"/>
        </w:rPr>
        <w:t>To this end</w:t>
      </w:r>
      <w:r w:rsidR="00895297" w:rsidRPr="007B03F8">
        <w:rPr>
          <w:rFonts w:ascii="Arial Narrow" w:hAnsi="Arial Narrow"/>
        </w:rPr>
        <w:t xml:space="preserve">, </w:t>
      </w:r>
      <w:r w:rsidR="00895297">
        <w:rPr>
          <w:rFonts w:ascii="Arial Narrow" w:hAnsi="Arial Narrow"/>
        </w:rPr>
        <w:t>interferences will be considered to be necessary if they answer a pressing social need and if they are proportionate to the aims pursued</w:t>
      </w:r>
      <w:r w:rsidR="00895297" w:rsidRPr="007B03F8">
        <w:rPr>
          <w:rFonts w:ascii="Arial Narrow" w:hAnsi="Arial Narrow"/>
        </w:rPr>
        <w:t xml:space="preserve">. The reasons adduced by the national authorities to justify the interference are relevant and pertinent. </w:t>
      </w:r>
      <w:r w:rsidR="00895297">
        <w:rPr>
          <w:rFonts w:ascii="Arial Narrow" w:hAnsi="Arial Narrow"/>
        </w:rPr>
        <w:t>So, for instance, in the</w:t>
      </w:r>
      <w:r w:rsidR="00895297" w:rsidRPr="007B03F8">
        <w:rPr>
          <w:rFonts w:ascii="Arial Narrow" w:hAnsi="Arial Narrow"/>
        </w:rPr>
        <w:t xml:space="preserve"> </w:t>
      </w:r>
      <w:r w:rsidR="00895297" w:rsidRPr="007B03F8">
        <w:rPr>
          <w:rFonts w:ascii="Arial Narrow" w:hAnsi="Arial Narrow"/>
          <w:i/>
        </w:rPr>
        <w:t xml:space="preserve">Blaj </w:t>
      </w:r>
      <w:r w:rsidR="00895297">
        <w:rPr>
          <w:rFonts w:ascii="Arial Narrow" w:hAnsi="Arial Narrow"/>
          <w:i/>
        </w:rPr>
        <w:t>v</w:t>
      </w:r>
      <w:r w:rsidR="00895297" w:rsidRPr="007B03F8">
        <w:rPr>
          <w:rFonts w:ascii="Arial Narrow" w:hAnsi="Arial Narrow"/>
          <w:i/>
        </w:rPr>
        <w:t>. Ro</w:t>
      </w:r>
      <w:r w:rsidR="00895297">
        <w:rPr>
          <w:rFonts w:ascii="Arial Narrow" w:hAnsi="Arial Narrow"/>
          <w:i/>
        </w:rPr>
        <w:t>mania</w:t>
      </w:r>
      <w:r w:rsidR="00895297">
        <w:rPr>
          <w:rFonts w:ascii="Arial Narrow" w:hAnsi="Arial Narrow"/>
        </w:rPr>
        <w:t xml:space="preserve"> judgment of 8 April</w:t>
      </w:r>
      <w:r w:rsidR="00895297" w:rsidRPr="007B03F8">
        <w:rPr>
          <w:rFonts w:ascii="Arial Narrow" w:hAnsi="Arial Narrow"/>
        </w:rPr>
        <w:t xml:space="preserve"> 2014, </w:t>
      </w:r>
      <w:r w:rsidR="00895297">
        <w:rPr>
          <w:rFonts w:ascii="Arial Narrow" w:hAnsi="Arial Narrow"/>
        </w:rPr>
        <w:t xml:space="preserve">the </w:t>
      </w:r>
      <w:r w:rsidR="00895297" w:rsidRPr="009120F0">
        <w:rPr>
          <w:rFonts w:ascii="Arial Narrow" w:hAnsi="Arial Narrow"/>
        </w:rPr>
        <w:t xml:space="preserve">tapping of the applicant’s telephone conversations </w:t>
      </w:r>
      <w:r w:rsidR="00895297">
        <w:rPr>
          <w:rFonts w:ascii="Arial Narrow" w:hAnsi="Arial Narrow"/>
        </w:rPr>
        <w:t>had been ordered on</w:t>
      </w:r>
      <w:r w:rsidR="006E58A3">
        <w:rPr>
          <w:rFonts w:ascii="Arial Narrow" w:hAnsi="Arial Narrow"/>
        </w:rPr>
        <w:t> </w:t>
      </w:r>
      <w:r w:rsidR="00895297">
        <w:rPr>
          <w:rFonts w:ascii="Arial Narrow" w:hAnsi="Arial Narrow"/>
        </w:rPr>
        <w:t xml:space="preserve">account of suspicion of passive corruption and </w:t>
      </w:r>
      <w:r w:rsidR="00895297" w:rsidRPr="007F1157">
        <w:rPr>
          <w:rFonts w:ascii="Arial Narrow" w:hAnsi="Arial Narrow"/>
        </w:rPr>
        <w:t>authorised by a court order</w:t>
      </w:r>
      <w:r w:rsidR="00895297" w:rsidRPr="007B03F8">
        <w:rPr>
          <w:rStyle w:val="FootnoteReference"/>
          <w:rFonts w:ascii="Arial Narrow" w:hAnsi="Arial Narrow"/>
        </w:rPr>
        <w:footnoteReference w:id="62"/>
      </w:r>
      <w:r w:rsidR="00895297" w:rsidRPr="007B03F8">
        <w:rPr>
          <w:rFonts w:ascii="Arial Narrow" w:hAnsi="Arial Narrow"/>
        </w:rPr>
        <w:t>. Moreover, “for a measure to be regarded as proportionate and as necessary in a democratic society, the possibility of recourse to an alternative measure that would cause less damage to the fundamental right in issue whilst fulfilling the same aim must be ruled out …”</w:t>
      </w:r>
      <w:r w:rsidR="00895297" w:rsidRPr="007B03F8">
        <w:rPr>
          <w:rStyle w:val="FootnoteReference"/>
          <w:rFonts w:ascii="Arial Narrow" w:hAnsi="Arial Narrow"/>
        </w:rPr>
        <w:footnoteReference w:id="63"/>
      </w:r>
      <w:r w:rsidR="00895297" w:rsidRPr="007B03F8">
        <w:rPr>
          <w:rFonts w:ascii="Arial Narrow" w:hAnsi="Arial Narrow"/>
        </w:rPr>
        <w:t xml:space="preserve">. </w:t>
      </w:r>
      <w:r w:rsidR="00895297">
        <w:rPr>
          <w:rFonts w:ascii="Arial Narrow" w:hAnsi="Arial Narrow"/>
        </w:rPr>
        <w:t>Ultimately</w:t>
      </w:r>
      <w:r w:rsidR="00895297" w:rsidRPr="007B03F8">
        <w:rPr>
          <w:rFonts w:ascii="Arial Narrow" w:hAnsi="Arial Narrow"/>
        </w:rPr>
        <w:t xml:space="preserve">, </w:t>
      </w:r>
      <w:r w:rsidR="00895297">
        <w:rPr>
          <w:rFonts w:ascii="Arial Narrow" w:hAnsi="Arial Narrow"/>
        </w:rPr>
        <w:t>interferences with the right to respect for private life enshrined in Article</w:t>
      </w:r>
      <w:r w:rsidR="00895297" w:rsidRPr="007B03F8">
        <w:rPr>
          <w:rFonts w:ascii="Arial Narrow" w:hAnsi="Arial Narrow"/>
        </w:rPr>
        <w:t xml:space="preserve"> 8 </w:t>
      </w:r>
      <w:r w:rsidR="00895297">
        <w:rPr>
          <w:rFonts w:ascii="Arial Narrow" w:hAnsi="Arial Narrow"/>
        </w:rPr>
        <w:t>of the</w:t>
      </w:r>
      <w:r w:rsidR="00895297" w:rsidRPr="007B03F8">
        <w:rPr>
          <w:rFonts w:ascii="Arial Narrow" w:hAnsi="Arial Narrow"/>
        </w:rPr>
        <w:t xml:space="preserve"> Convention </w:t>
      </w:r>
      <w:r w:rsidR="00895297">
        <w:rPr>
          <w:rFonts w:ascii="Arial Narrow" w:hAnsi="Arial Narrow"/>
        </w:rPr>
        <w:t>are, in some cases, accepted only on the grounds that the State compensated for the limitation on the applicant’s right in question</w:t>
      </w:r>
      <w:r w:rsidR="00895297" w:rsidRPr="007B03F8">
        <w:rPr>
          <w:rStyle w:val="FootnoteReference"/>
          <w:rFonts w:ascii="Arial Narrow" w:hAnsi="Arial Narrow"/>
        </w:rPr>
        <w:footnoteReference w:id="64"/>
      </w:r>
      <w:r w:rsidR="00895297" w:rsidRPr="007B03F8">
        <w:rPr>
          <w:rFonts w:ascii="Arial Narrow" w:hAnsi="Arial Narrow"/>
        </w:rPr>
        <w:t>. In any event, if “the final evaluation of whether the interference is necessary remains subject to review by the Court for conformity with the requirements of the Convention … [a] margin of appreciation must be left to the competent national authorities in this connection. The breadth of this</w:t>
      </w:r>
      <w:r w:rsidR="006E58A3">
        <w:rPr>
          <w:rFonts w:ascii="Arial Narrow" w:hAnsi="Arial Narrow"/>
        </w:rPr>
        <w:t xml:space="preserve"> margin varies and depends on a </w:t>
      </w:r>
      <w:r w:rsidR="00895297" w:rsidRPr="007B03F8">
        <w:rPr>
          <w:rFonts w:ascii="Arial Narrow" w:hAnsi="Arial Narrow"/>
        </w:rPr>
        <w:t>number of factors including the nature of the Convention right in issue, its importance for the individual, the nature of the interference and the object pursued by the interference …”</w:t>
      </w:r>
      <w:r w:rsidR="00895297" w:rsidRPr="007B03F8">
        <w:rPr>
          <w:rStyle w:val="FootnoteReference"/>
          <w:rFonts w:ascii="Arial Narrow" w:hAnsi="Arial Narrow"/>
        </w:rPr>
        <w:footnoteReference w:id="65"/>
      </w:r>
      <w:r w:rsidR="00895297" w:rsidRPr="007B03F8">
        <w:rPr>
          <w:rFonts w:ascii="Arial Narrow" w:hAnsi="Arial Narrow"/>
        </w:rPr>
        <w:t>.</w:t>
      </w:r>
    </w:p>
    <w:p w14:paraId="3E5BB55F" w14:textId="77777777" w:rsidR="00895297" w:rsidRPr="007B03F8" w:rsidRDefault="00895297" w:rsidP="00895297">
      <w:pPr>
        <w:spacing w:line="480" w:lineRule="auto"/>
        <w:ind w:firstLine="567"/>
        <w:jc w:val="both"/>
        <w:rPr>
          <w:rFonts w:ascii="Arial Narrow" w:hAnsi="Arial Narrow"/>
        </w:rPr>
      </w:pPr>
    </w:p>
    <w:p w14:paraId="5F49E12A" w14:textId="069E1952" w:rsidR="00895297" w:rsidRPr="007B03F8" w:rsidRDefault="008D4FE1" w:rsidP="00895297">
      <w:pPr>
        <w:spacing w:line="480" w:lineRule="auto"/>
        <w:ind w:firstLine="567"/>
        <w:jc w:val="both"/>
        <w:rPr>
          <w:rFonts w:ascii="Arial Narrow" w:hAnsi="Arial Narrow"/>
        </w:rPr>
      </w:pPr>
      <w:r>
        <w:rPr>
          <w:rFonts w:ascii="Arial Narrow" w:hAnsi="Arial Narrow"/>
        </w:rPr>
        <w:t>51</w:t>
      </w:r>
      <w:r w:rsidR="00895297" w:rsidRPr="007B03F8">
        <w:rPr>
          <w:rFonts w:ascii="Arial Narrow" w:hAnsi="Arial Narrow"/>
        </w:rPr>
        <w:t>.  </w:t>
      </w:r>
      <w:r w:rsidR="00895297">
        <w:rPr>
          <w:rFonts w:ascii="Arial Narrow" w:hAnsi="Arial Narrow"/>
          <w:lang w:eastAsia="fr-FR"/>
        </w:rPr>
        <w:t>Regarding intelligence issues</w:t>
      </w:r>
      <w:r w:rsidR="00895297" w:rsidRPr="007B03F8">
        <w:rPr>
          <w:rFonts w:ascii="Arial Narrow" w:hAnsi="Arial Narrow"/>
          <w:lang w:eastAsia="fr-FR"/>
        </w:rPr>
        <w:t xml:space="preserve">, </w:t>
      </w:r>
      <w:r w:rsidR="00895297">
        <w:rPr>
          <w:rFonts w:ascii="Arial Narrow" w:hAnsi="Arial Narrow"/>
          <w:lang w:eastAsia="fr-FR"/>
        </w:rPr>
        <w:t>mass surveillance</w:t>
      </w:r>
      <w:r w:rsidR="00895297" w:rsidRPr="007B03F8">
        <w:rPr>
          <w:rFonts w:ascii="Arial Narrow" w:hAnsi="Arial Narrow"/>
          <w:lang w:eastAsia="fr-FR"/>
        </w:rPr>
        <w:t xml:space="preserve"> – </w:t>
      </w:r>
      <w:r w:rsidR="00895297">
        <w:rPr>
          <w:rFonts w:ascii="Arial Narrow" w:hAnsi="Arial Narrow"/>
          <w:lang w:eastAsia="fr-FR"/>
        </w:rPr>
        <w:t>which is sometimes referred to as general and not targeted surveillance</w:t>
      </w:r>
      <w:r w:rsidR="00895297" w:rsidRPr="007B03F8">
        <w:rPr>
          <w:rFonts w:ascii="Arial Narrow" w:hAnsi="Arial Narrow"/>
          <w:lang w:eastAsia="fr-FR"/>
        </w:rPr>
        <w:t xml:space="preserve"> – </w:t>
      </w:r>
      <w:r w:rsidR="00895297">
        <w:rPr>
          <w:rFonts w:ascii="Arial Narrow" w:hAnsi="Arial Narrow"/>
          <w:lang w:eastAsia="fr-FR"/>
        </w:rPr>
        <w:t>is a constant temptation for many States which view human rights as an obstacle to public safety</w:t>
      </w:r>
      <w:r w:rsidR="00895297" w:rsidRPr="007B03F8">
        <w:rPr>
          <w:rStyle w:val="FootnoteReference"/>
          <w:rFonts w:ascii="Arial Narrow" w:hAnsi="Arial Narrow"/>
        </w:rPr>
        <w:footnoteReference w:id="66"/>
      </w:r>
      <w:r w:rsidR="00895297" w:rsidRPr="007B03F8">
        <w:rPr>
          <w:rFonts w:ascii="Arial Narrow" w:hAnsi="Arial Narrow"/>
          <w:lang w:eastAsia="fr-FR"/>
        </w:rPr>
        <w:t xml:space="preserve">. </w:t>
      </w:r>
      <w:r w:rsidR="00895297">
        <w:rPr>
          <w:rFonts w:ascii="Arial Narrow" w:hAnsi="Arial Narrow"/>
          <w:lang w:eastAsia="fr-FR"/>
        </w:rPr>
        <w:t xml:space="preserve">I </w:t>
      </w:r>
      <w:r w:rsidR="00895297" w:rsidRPr="00EC6689">
        <w:rPr>
          <w:rFonts w:ascii="Arial Narrow" w:hAnsi="Arial Narrow"/>
          <w:lang w:eastAsia="fr-FR"/>
        </w:rPr>
        <w:t>am aware that on 18 November 2016 the United Kingdom Parliament has passed the Investigatory Powers Bill which is the most extreme surveillance law in its history.</w:t>
      </w:r>
      <w:r w:rsidR="00895297">
        <w:rPr>
          <w:rFonts w:ascii="Arial Narrow" w:hAnsi="Arial Narrow"/>
          <w:lang w:eastAsia="fr-FR"/>
        </w:rPr>
        <w:t xml:space="preserve"> However, some express concern that, by allowing indiscriminate surveillance of persons who </w:t>
      </w:r>
      <w:r w:rsidR="00895297" w:rsidRPr="00604010">
        <w:rPr>
          <w:rFonts w:ascii="Arial Narrow" w:hAnsi="Arial Narrow"/>
          <w:lang w:eastAsia="fr-FR"/>
        </w:rPr>
        <w:t>are not suspected of</w:t>
      </w:r>
      <w:r w:rsidR="00895297">
        <w:rPr>
          <w:rFonts w:ascii="Arial Narrow" w:hAnsi="Arial Narrow"/>
          <w:lang w:eastAsia="fr-FR"/>
        </w:rPr>
        <w:t xml:space="preserve"> terrorist activities</w:t>
      </w:r>
      <w:r w:rsidR="00895297" w:rsidRPr="007B03F8">
        <w:rPr>
          <w:rFonts w:ascii="Arial Narrow" w:hAnsi="Arial Narrow"/>
        </w:rPr>
        <w:t xml:space="preserve">, </w:t>
      </w:r>
      <w:r w:rsidR="00895297">
        <w:rPr>
          <w:rFonts w:ascii="Arial Narrow" w:hAnsi="Arial Narrow"/>
        </w:rPr>
        <w:t xml:space="preserve">laws may </w:t>
      </w:r>
      <w:r w:rsidR="00895297" w:rsidRPr="005C3B84">
        <w:rPr>
          <w:rFonts w:ascii="Arial Narrow" w:hAnsi="Arial Narrow"/>
        </w:rPr>
        <w:t xml:space="preserve">aggravate social tensions </w:t>
      </w:r>
      <w:r w:rsidR="00895297">
        <w:rPr>
          <w:rFonts w:ascii="Arial Narrow" w:hAnsi="Arial Narrow"/>
        </w:rPr>
        <w:t>because they are likely to create a dangerous environment in which all individuals are regarded as potential suspects</w:t>
      </w:r>
      <w:r w:rsidR="00895297" w:rsidRPr="007B03F8">
        <w:rPr>
          <w:rFonts w:ascii="Arial Narrow" w:hAnsi="Arial Narrow"/>
        </w:rPr>
        <w:t xml:space="preserve">. </w:t>
      </w:r>
      <w:r w:rsidR="00895297">
        <w:rPr>
          <w:rFonts w:ascii="Arial Narrow" w:hAnsi="Arial Narrow"/>
        </w:rPr>
        <w:t>“The State is poisoning itself”, as Antoine Garapon puts it</w:t>
      </w:r>
      <w:r w:rsidR="00895297" w:rsidRPr="007B03F8">
        <w:rPr>
          <w:rFonts w:ascii="Arial Narrow" w:hAnsi="Arial Narrow"/>
        </w:rPr>
        <w:t>.</w:t>
      </w:r>
    </w:p>
    <w:p w14:paraId="304FF86D" w14:textId="77777777" w:rsidR="00895297" w:rsidRPr="007B03F8" w:rsidRDefault="00895297" w:rsidP="00895297">
      <w:pPr>
        <w:spacing w:line="480" w:lineRule="auto"/>
        <w:ind w:firstLine="567"/>
        <w:jc w:val="both"/>
        <w:rPr>
          <w:rFonts w:ascii="Arial Narrow" w:hAnsi="Arial Narrow"/>
        </w:rPr>
      </w:pPr>
    </w:p>
    <w:p w14:paraId="06FA4438" w14:textId="2912A189" w:rsidR="00895297" w:rsidRPr="007B03F8" w:rsidRDefault="008D4FE1" w:rsidP="00895297">
      <w:pPr>
        <w:spacing w:line="480" w:lineRule="auto"/>
        <w:ind w:firstLine="567"/>
        <w:jc w:val="both"/>
        <w:rPr>
          <w:rFonts w:ascii="Arial Narrow" w:hAnsi="Arial Narrow"/>
        </w:rPr>
      </w:pPr>
      <w:r>
        <w:rPr>
          <w:rFonts w:ascii="Arial Narrow" w:hAnsi="Arial Narrow"/>
        </w:rPr>
        <w:t>52</w:t>
      </w:r>
      <w:r w:rsidR="00895297" w:rsidRPr="007B03F8">
        <w:rPr>
          <w:rFonts w:ascii="Arial Narrow" w:hAnsi="Arial Narrow"/>
        </w:rPr>
        <w:t>.  </w:t>
      </w:r>
      <w:r w:rsidR="00895297">
        <w:rPr>
          <w:rFonts w:ascii="Arial Narrow" w:hAnsi="Arial Narrow"/>
        </w:rPr>
        <w:t xml:space="preserve">This is the type of counter-terrorism measure that endangers fundamental rights and is counter-productive, </w:t>
      </w:r>
      <w:r w:rsidR="00895297" w:rsidRPr="007F1D3F">
        <w:rPr>
          <w:rFonts w:ascii="Arial Narrow" w:hAnsi="Arial Narrow"/>
        </w:rPr>
        <w:t>divert</w:t>
      </w:r>
      <w:r w:rsidR="00895297">
        <w:rPr>
          <w:rFonts w:ascii="Arial Narrow" w:hAnsi="Arial Narrow"/>
        </w:rPr>
        <w:t>ing</w:t>
      </w:r>
      <w:r w:rsidR="00895297" w:rsidRPr="007F1D3F">
        <w:rPr>
          <w:rFonts w:ascii="Arial Narrow" w:hAnsi="Arial Narrow"/>
        </w:rPr>
        <w:t xml:space="preserve"> resources that might prevent terrorist attacks</w:t>
      </w:r>
      <w:r w:rsidR="00895297" w:rsidRPr="007B03F8">
        <w:rPr>
          <w:rFonts w:ascii="Arial Narrow" w:hAnsi="Arial Narrow"/>
          <w:lang w:eastAsia="fr-FR"/>
        </w:rPr>
        <w:t xml:space="preserve">. </w:t>
      </w:r>
      <w:r w:rsidR="00895297">
        <w:rPr>
          <w:rFonts w:ascii="Arial Narrow" w:hAnsi="Arial Narrow"/>
          <w:lang w:eastAsia="fr-FR"/>
        </w:rPr>
        <w:t>Already in</w:t>
      </w:r>
      <w:r w:rsidR="00895297" w:rsidRPr="007B03F8">
        <w:rPr>
          <w:rFonts w:ascii="Arial Narrow" w:hAnsi="Arial Narrow"/>
          <w:lang w:eastAsia="fr-FR"/>
        </w:rPr>
        <w:t xml:space="preserve"> 2015, </w:t>
      </w:r>
      <w:r w:rsidR="00895297">
        <w:rPr>
          <w:rFonts w:ascii="Arial Narrow" w:hAnsi="Arial Narrow"/>
        </w:rPr>
        <w:t xml:space="preserve">the </w:t>
      </w:r>
      <w:r w:rsidRPr="008D4FE1">
        <w:rPr>
          <w:rFonts w:ascii="Arial Narrow" w:hAnsi="Arial Narrow"/>
        </w:rPr>
        <w:t xml:space="preserve">Report of the Committee on Legal Affairs and Human Rights of </w:t>
      </w:r>
      <w:r>
        <w:rPr>
          <w:rFonts w:ascii="Arial Narrow" w:hAnsi="Arial Narrow"/>
        </w:rPr>
        <w:t xml:space="preserve">the </w:t>
      </w:r>
      <w:r w:rsidR="00895297">
        <w:rPr>
          <w:rFonts w:ascii="Arial Narrow" w:hAnsi="Arial Narrow"/>
        </w:rPr>
        <w:t>Council of Europe Parliamentary</w:t>
      </w:r>
      <w:r w:rsidR="00895297" w:rsidRPr="007B03F8">
        <w:rPr>
          <w:rFonts w:ascii="Arial Narrow" w:hAnsi="Arial Narrow"/>
        </w:rPr>
        <w:t xml:space="preserve"> </w:t>
      </w:r>
      <w:r w:rsidR="00895297">
        <w:rPr>
          <w:rFonts w:ascii="Arial Narrow" w:hAnsi="Arial Narrow"/>
        </w:rPr>
        <w:t>Assembly noted that “[m]</w:t>
      </w:r>
      <w:r w:rsidR="00895297" w:rsidRPr="007F1D3F">
        <w:rPr>
          <w:rFonts w:ascii="Arial Narrow" w:hAnsi="Arial Narrow"/>
        </w:rPr>
        <w:t>ass surveillance d</w:t>
      </w:r>
      <w:r w:rsidR="00895297">
        <w:rPr>
          <w:rFonts w:ascii="Arial Narrow" w:hAnsi="Arial Narrow"/>
        </w:rPr>
        <w:t>[id]</w:t>
      </w:r>
      <w:r w:rsidR="00895297" w:rsidRPr="007F1D3F">
        <w:rPr>
          <w:rFonts w:ascii="Arial Narrow" w:hAnsi="Arial Narrow"/>
        </w:rPr>
        <w:t xml:space="preserve"> not appear to have contributed to the prevention of terrorist attacks, contrary to earlier assertions made by senior intelligence officials. Instead, resources that might prevent attacks are diverted to mass surveillance, leaving potentiall</w:t>
      </w:r>
      <w:r w:rsidR="00895297">
        <w:rPr>
          <w:rFonts w:ascii="Arial Narrow" w:hAnsi="Arial Narrow"/>
        </w:rPr>
        <w:t>y dang</w:t>
      </w:r>
      <w:r w:rsidR="008113A8">
        <w:rPr>
          <w:rFonts w:ascii="Arial Narrow" w:hAnsi="Arial Narrow"/>
        </w:rPr>
        <w:t>erous persons free to act”. The </w:t>
      </w:r>
      <w:r w:rsidR="00895297">
        <w:rPr>
          <w:rFonts w:ascii="Arial Narrow" w:hAnsi="Arial Narrow"/>
        </w:rPr>
        <w:t xml:space="preserve">Assembly therefore called for </w:t>
      </w:r>
      <w:r w:rsidR="00895297" w:rsidRPr="007F1D3F">
        <w:rPr>
          <w:rFonts w:ascii="Arial Narrow" w:hAnsi="Arial Narrow"/>
        </w:rPr>
        <w:t>the collection and analysis of personal data (including so-called metadata) without consent only following “a court order granted on the basis of reasonable suspicion</w:t>
      </w:r>
      <w:r w:rsidR="00895297">
        <w:rPr>
          <w:rFonts w:ascii="Arial Narrow" w:hAnsi="Arial Narrow"/>
        </w:rPr>
        <w:t xml:space="preserve">”. It also recommended for a </w:t>
      </w:r>
      <w:r w:rsidR="00895297" w:rsidRPr="007F1D3F">
        <w:rPr>
          <w:rFonts w:ascii="Arial Narrow" w:hAnsi="Arial Narrow"/>
        </w:rPr>
        <w:t>better judicial and parliamentary control of intelligence services</w:t>
      </w:r>
      <w:r w:rsidR="00895297">
        <w:rPr>
          <w:rFonts w:ascii="Arial Narrow" w:hAnsi="Arial Narrow"/>
        </w:rPr>
        <w:t xml:space="preserve"> and for the adoption of </w:t>
      </w:r>
      <w:r w:rsidR="00895297" w:rsidRPr="007F1D3F">
        <w:rPr>
          <w:rFonts w:ascii="Arial Narrow" w:hAnsi="Arial Narrow"/>
        </w:rPr>
        <w:t>an “intelligence codex” defining mutual obligations that secret services could opt into</w:t>
      </w:r>
      <w:r w:rsidR="00895297" w:rsidRPr="007B03F8">
        <w:rPr>
          <w:rFonts w:ascii="Arial Narrow" w:hAnsi="Arial Narrow"/>
        </w:rPr>
        <w:t>.</w:t>
      </w:r>
      <w:r w:rsidR="00895297">
        <w:rPr>
          <w:rFonts w:ascii="Arial Narrow" w:hAnsi="Arial Narrow"/>
        </w:rPr>
        <w:t xml:space="preserve"> It lastly called for </w:t>
      </w:r>
      <w:r w:rsidR="00895297" w:rsidRPr="007F1D3F">
        <w:rPr>
          <w:rFonts w:ascii="Arial Narrow" w:hAnsi="Arial Narrow"/>
        </w:rPr>
        <w:t>“credible, effective protection” for whistle-blowers exposing unlawful surveillance</w:t>
      </w:r>
      <w:r w:rsidR="00895297" w:rsidRPr="007B03F8">
        <w:rPr>
          <w:rStyle w:val="FootnoteReference"/>
          <w:rFonts w:ascii="Arial Narrow" w:hAnsi="Arial Narrow"/>
        </w:rPr>
        <w:footnoteReference w:id="67"/>
      </w:r>
      <w:r w:rsidR="00895297" w:rsidRPr="007B03F8">
        <w:rPr>
          <w:rFonts w:ascii="Arial Narrow" w:hAnsi="Arial Narrow"/>
        </w:rPr>
        <w:t>.</w:t>
      </w:r>
    </w:p>
    <w:p w14:paraId="4A17CAEC" w14:textId="77777777" w:rsidR="00895297" w:rsidRPr="007B03F8" w:rsidRDefault="00895297" w:rsidP="00895297">
      <w:pPr>
        <w:tabs>
          <w:tab w:val="left" w:pos="567"/>
          <w:tab w:val="left" w:pos="1276"/>
        </w:tabs>
        <w:spacing w:line="480" w:lineRule="auto"/>
        <w:jc w:val="both"/>
        <w:rPr>
          <w:rFonts w:ascii="Arial Narrow" w:hAnsi="Arial Narrow"/>
        </w:rPr>
      </w:pPr>
    </w:p>
    <w:p w14:paraId="0DD08A84" w14:textId="7D7802AC" w:rsidR="00895297" w:rsidRPr="007B03F8" w:rsidRDefault="008D4FE1" w:rsidP="00895297">
      <w:pPr>
        <w:tabs>
          <w:tab w:val="left" w:pos="567"/>
          <w:tab w:val="left" w:pos="1276"/>
        </w:tabs>
        <w:spacing w:line="480" w:lineRule="auto"/>
        <w:jc w:val="both"/>
        <w:rPr>
          <w:rFonts w:ascii="Arial Narrow" w:hAnsi="Arial Narrow"/>
        </w:rPr>
      </w:pPr>
      <w:r>
        <w:rPr>
          <w:rFonts w:ascii="Arial Narrow" w:hAnsi="Arial Narrow"/>
        </w:rPr>
        <w:tab/>
        <w:t>53</w:t>
      </w:r>
      <w:r w:rsidR="00895297" w:rsidRPr="007B03F8">
        <w:rPr>
          <w:rFonts w:ascii="Arial Narrow" w:hAnsi="Arial Narrow"/>
        </w:rPr>
        <w:t>.  </w:t>
      </w:r>
      <w:r w:rsidR="00895297">
        <w:rPr>
          <w:rFonts w:ascii="Arial Narrow" w:hAnsi="Arial Narrow"/>
        </w:rPr>
        <w:t>As far as surveillance is concerned</w:t>
      </w:r>
      <w:r w:rsidR="00895297" w:rsidRPr="007B03F8">
        <w:rPr>
          <w:rFonts w:ascii="Arial Narrow" w:hAnsi="Arial Narrow"/>
        </w:rPr>
        <w:t>,</w:t>
      </w:r>
      <w:r w:rsidR="00895297">
        <w:rPr>
          <w:rFonts w:ascii="Arial Narrow" w:hAnsi="Arial Narrow"/>
        </w:rPr>
        <w:t xml:space="preserve"> the law must </w:t>
      </w:r>
      <w:r w:rsidR="00895297" w:rsidRPr="008407AD">
        <w:rPr>
          <w:rFonts w:ascii="Arial Narrow" w:hAnsi="Arial Narrow"/>
        </w:rPr>
        <w:t>be precise and clear as to the nature of the charged or suspected activities of persons who may be subjected to surveillance</w:t>
      </w:r>
      <w:r w:rsidR="00895297">
        <w:rPr>
          <w:rFonts w:ascii="Arial Narrow" w:hAnsi="Arial Narrow"/>
        </w:rPr>
        <w:t xml:space="preserve">. It </w:t>
      </w:r>
      <w:r w:rsidR="00895297" w:rsidRPr="008407AD">
        <w:rPr>
          <w:rFonts w:ascii="Arial Narrow" w:hAnsi="Arial Narrow"/>
        </w:rPr>
        <w:t>must set out strict limits on the duration of the operations, as well as rules on the use, storage and destruction of data obtained during those operations</w:t>
      </w:r>
      <w:r w:rsidR="00895297">
        <w:rPr>
          <w:rFonts w:ascii="Arial Narrow" w:hAnsi="Arial Narrow"/>
        </w:rPr>
        <w:t xml:space="preserve">. </w:t>
      </w:r>
      <w:r w:rsidR="00895297" w:rsidRPr="008407AD">
        <w:rPr>
          <w:rFonts w:ascii="Arial Narrow" w:hAnsi="Arial Narrow"/>
        </w:rPr>
        <w:t>Persons subjected to surveillance operations must have an effective remedy in order to contest the validity of the measures applied to them, as well as the decisions on the use and storage of the data concerning them.</w:t>
      </w:r>
      <w:r w:rsidR="00895297">
        <w:rPr>
          <w:rFonts w:ascii="Arial Narrow" w:hAnsi="Arial Narrow"/>
        </w:rPr>
        <w:t xml:space="preserve"> In addition, the</w:t>
      </w:r>
      <w:r w:rsidR="00895297" w:rsidRPr="008407AD">
        <w:rPr>
          <w:rFonts w:ascii="Arial Narrow" w:hAnsi="Arial Narrow"/>
        </w:rPr>
        <w:t xml:space="preserve"> law should also increase the accountability and transparency of the intelligence services, including vis-à-vis Parliament.</w:t>
      </w:r>
      <w:r w:rsidR="00895297">
        <w:rPr>
          <w:rFonts w:ascii="Arial Narrow" w:hAnsi="Arial Narrow"/>
        </w:rPr>
        <w:t xml:space="preserve"> Lastly, large-scale surveillance </w:t>
      </w:r>
      <w:r w:rsidR="00895297" w:rsidRPr="008407AD">
        <w:rPr>
          <w:rFonts w:ascii="Arial Narrow" w:hAnsi="Arial Narrow"/>
        </w:rPr>
        <w:t xml:space="preserve">must </w:t>
      </w:r>
      <w:r w:rsidR="00895297">
        <w:rPr>
          <w:rFonts w:ascii="Arial Narrow" w:hAnsi="Arial Narrow"/>
        </w:rPr>
        <w:t xml:space="preserve">also </w:t>
      </w:r>
      <w:r w:rsidR="00895297" w:rsidRPr="008407AD">
        <w:rPr>
          <w:rFonts w:ascii="Arial Narrow" w:hAnsi="Arial Narrow"/>
        </w:rPr>
        <w:t>conform to the strict tests of necessity and proportionality</w:t>
      </w:r>
      <w:r w:rsidR="00895297">
        <w:rPr>
          <w:rFonts w:ascii="Arial Narrow" w:hAnsi="Arial Narrow"/>
        </w:rPr>
        <w:t xml:space="preserve"> in order to be compatible with Article 8 of the European Convention on Human Rights</w:t>
      </w:r>
      <w:r w:rsidR="00895297" w:rsidRPr="007B03F8">
        <w:rPr>
          <w:rFonts w:ascii="Arial Narrow" w:hAnsi="Arial Narrow"/>
        </w:rPr>
        <w:t xml:space="preserve">. </w:t>
      </w:r>
      <w:r w:rsidR="00895297" w:rsidRPr="008407AD">
        <w:rPr>
          <w:rFonts w:ascii="Arial Narrow" w:hAnsi="Arial Narrow"/>
        </w:rPr>
        <w:t xml:space="preserve">This is the thrust </w:t>
      </w:r>
      <w:r w:rsidR="00895297">
        <w:rPr>
          <w:rFonts w:ascii="Arial Narrow" w:hAnsi="Arial Narrow"/>
        </w:rPr>
        <w:t xml:space="preserve">of the </w:t>
      </w:r>
      <w:r w:rsidR="00895297" w:rsidRPr="007B03F8">
        <w:rPr>
          <w:rFonts w:ascii="Arial Narrow" w:hAnsi="Arial Narrow"/>
          <w:i/>
        </w:rPr>
        <w:t xml:space="preserve">Szabo </w:t>
      </w:r>
      <w:r w:rsidR="00895297">
        <w:rPr>
          <w:rFonts w:ascii="Arial Narrow" w:hAnsi="Arial Narrow"/>
          <w:i/>
        </w:rPr>
        <w:t>and</w:t>
      </w:r>
      <w:r w:rsidR="00895297" w:rsidRPr="007B03F8">
        <w:rPr>
          <w:rFonts w:ascii="Arial Narrow" w:hAnsi="Arial Narrow"/>
          <w:i/>
        </w:rPr>
        <w:t xml:space="preserve"> Vissy </w:t>
      </w:r>
      <w:r w:rsidR="00895297">
        <w:rPr>
          <w:rFonts w:ascii="Arial Narrow" w:hAnsi="Arial Narrow"/>
          <w:i/>
        </w:rPr>
        <w:t>v</w:t>
      </w:r>
      <w:r w:rsidR="00895297" w:rsidRPr="007B03F8">
        <w:rPr>
          <w:rFonts w:ascii="Arial Narrow" w:hAnsi="Arial Narrow"/>
          <w:i/>
        </w:rPr>
        <w:t>. H</w:t>
      </w:r>
      <w:r w:rsidR="00895297">
        <w:rPr>
          <w:rFonts w:ascii="Arial Narrow" w:hAnsi="Arial Narrow"/>
          <w:i/>
        </w:rPr>
        <w:t>ungary</w:t>
      </w:r>
      <w:r w:rsidR="00895297" w:rsidRPr="007B03F8">
        <w:rPr>
          <w:rFonts w:ascii="Arial Narrow" w:hAnsi="Arial Narrow"/>
        </w:rPr>
        <w:t xml:space="preserve"> </w:t>
      </w:r>
      <w:r w:rsidR="00895297">
        <w:rPr>
          <w:rFonts w:ascii="Arial Narrow" w:hAnsi="Arial Narrow"/>
        </w:rPr>
        <w:t>judgment of</w:t>
      </w:r>
      <w:r w:rsidR="00895297" w:rsidRPr="007B03F8">
        <w:rPr>
          <w:rFonts w:ascii="Arial Narrow" w:hAnsi="Arial Narrow"/>
        </w:rPr>
        <w:t xml:space="preserve"> 12 </w:t>
      </w:r>
      <w:r w:rsidR="00895297">
        <w:rPr>
          <w:rFonts w:ascii="Arial Narrow" w:hAnsi="Arial Narrow"/>
        </w:rPr>
        <w:t xml:space="preserve">January </w:t>
      </w:r>
      <w:r w:rsidR="00895297" w:rsidRPr="007B03F8">
        <w:rPr>
          <w:rFonts w:ascii="Arial Narrow" w:hAnsi="Arial Narrow"/>
        </w:rPr>
        <w:t>2016</w:t>
      </w:r>
      <w:r w:rsidR="00895297" w:rsidRPr="007B03F8">
        <w:rPr>
          <w:rStyle w:val="FootnoteReference"/>
          <w:rFonts w:ascii="Arial Narrow" w:hAnsi="Arial Narrow"/>
        </w:rPr>
        <w:footnoteReference w:id="68"/>
      </w:r>
      <w:r w:rsidR="00895297">
        <w:rPr>
          <w:rFonts w:ascii="Arial Narrow" w:hAnsi="Arial Narrow"/>
        </w:rPr>
        <w:t xml:space="preserve"> which, on this point, draws inter alia on</w:t>
      </w:r>
      <w:r w:rsidR="00895297" w:rsidRPr="007B03F8">
        <w:rPr>
          <w:rFonts w:ascii="Arial Narrow" w:hAnsi="Arial Narrow"/>
        </w:rPr>
        <w:t xml:space="preserve"> </w:t>
      </w:r>
      <w:r w:rsidR="00895297">
        <w:rPr>
          <w:rFonts w:ascii="Arial Narrow" w:hAnsi="Arial Narrow"/>
        </w:rPr>
        <w:t>two recent judgments of the Court of Justice of the European Union</w:t>
      </w:r>
      <w:r w:rsidR="00895297" w:rsidRPr="007B03F8">
        <w:rPr>
          <w:rStyle w:val="FootnoteReference"/>
          <w:rFonts w:ascii="Arial Narrow" w:hAnsi="Arial Narrow"/>
        </w:rPr>
        <w:footnoteReference w:id="69"/>
      </w:r>
      <w:r w:rsidR="00895297" w:rsidRPr="007B03F8">
        <w:rPr>
          <w:rFonts w:ascii="Arial Narrow" w:hAnsi="Arial Narrow"/>
        </w:rPr>
        <w:t xml:space="preserve">. </w:t>
      </w:r>
    </w:p>
    <w:p w14:paraId="145EA812" w14:textId="77777777" w:rsidR="00895297" w:rsidRPr="007B03F8" w:rsidRDefault="00895297" w:rsidP="00895297">
      <w:pPr>
        <w:tabs>
          <w:tab w:val="left" w:pos="567"/>
          <w:tab w:val="left" w:pos="851"/>
          <w:tab w:val="left" w:pos="1134"/>
        </w:tabs>
        <w:spacing w:line="480" w:lineRule="auto"/>
        <w:jc w:val="both"/>
        <w:rPr>
          <w:rFonts w:ascii="Arial Narrow" w:hAnsi="Arial Narrow"/>
        </w:rPr>
      </w:pPr>
    </w:p>
    <w:p w14:paraId="0E628446" w14:textId="77777777" w:rsidR="00895297" w:rsidRPr="007B03F8" w:rsidRDefault="00895297" w:rsidP="00895297">
      <w:pPr>
        <w:tabs>
          <w:tab w:val="left" w:pos="567"/>
          <w:tab w:val="left" w:pos="851"/>
          <w:tab w:val="left" w:pos="1134"/>
        </w:tabs>
        <w:spacing w:line="480" w:lineRule="auto"/>
        <w:jc w:val="both"/>
        <w:rPr>
          <w:rFonts w:ascii="Arial Narrow" w:hAnsi="Arial Narrow"/>
          <w:b/>
        </w:rPr>
      </w:pPr>
      <w:r w:rsidRPr="007B03F8">
        <w:rPr>
          <w:rFonts w:ascii="Arial Narrow" w:hAnsi="Arial Narrow"/>
          <w:b/>
        </w:rPr>
        <w:tab/>
        <w:t>Conclusion</w:t>
      </w:r>
    </w:p>
    <w:p w14:paraId="74791AB6" w14:textId="77777777" w:rsidR="00895297" w:rsidRPr="007B03F8" w:rsidRDefault="00895297" w:rsidP="00895297">
      <w:pPr>
        <w:tabs>
          <w:tab w:val="left" w:pos="567"/>
          <w:tab w:val="left" w:pos="851"/>
          <w:tab w:val="left" w:pos="1134"/>
        </w:tabs>
        <w:spacing w:line="480" w:lineRule="auto"/>
        <w:jc w:val="both"/>
        <w:rPr>
          <w:rFonts w:ascii="Arial Narrow" w:hAnsi="Arial Narrow"/>
        </w:rPr>
      </w:pPr>
    </w:p>
    <w:p w14:paraId="6502BB8A" w14:textId="59D7FB92" w:rsidR="00895297" w:rsidRDefault="00895297" w:rsidP="00895297">
      <w:pPr>
        <w:tabs>
          <w:tab w:val="left" w:pos="567"/>
          <w:tab w:val="left" w:pos="993"/>
        </w:tabs>
        <w:spacing w:line="480" w:lineRule="auto"/>
        <w:jc w:val="both"/>
        <w:rPr>
          <w:rFonts w:ascii="Arial Narrow" w:hAnsi="Arial Narrow"/>
        </w:rPr>
      </w:pPr>
      <w:r w:rsidRPr="007B03F8">
        <w:rPr>
          <w:rFonts w:ascii="Arial Narrow" w:hAnsi="Arial Narrow"/>
        </w:rPr>
        <w:tab/>
      </w:r>
      <w:r w:rsidR="008D4FE1">
        <w:rPr>
          <w:rFonts w:ascii="Arial Narrow" w:hAnsi="Arial Narrow"/>
        </w:rPr>
        <w:t>54</w:t>
      </w:r>
      <w:r w:rsidRPr="007B03F8">
        <w:rPr>
          <w:rFonts w:ascii="Arial Narrow" w:hAnsi="Arial Narrow"/>
        </w:rPr>
        <w:t>.  </w:t>
      </w:r>
      <w:r>
        <w:rPr>
          <w:rFonts w:ascii="Arial Narrow" w:hAnsi="Arial Narrow"/>
        </w:rPr>
        <w:t xml:space="preserve">International human rights law does not prevent States from taking measures in order to </w:t>
      </w:r>
      <w:r w:rsidRPr="00A35987">
        <w:rPr>
          <w:rFonts w:ascii="Arial Narrow" w:hAnsi="Arial Narrow"/>
        </w:rPr>
        <w:t>protect their citize</w:t>
      </w:r>
      <w:r>
        <w:rPr>
          <w:rFonts w:ascii="Arial Narrow" w:hAnsi="Arial Narrow"/>
        </w:rPr>
        <w:t>ns from the threat of terrorism</w:t>
      </w:r>
      <w:r w:rsidRPr="007B03F8">
        <w:rPr>
          <w:rFonts w:ascii="Arial Narrow" w:hAnsi="Arial Narrow"/>
        </w:rPr>
        <w:t xml:space="preserve">. </w:t>
      </w:r>
      <w:r>
        <w:rPr>
          <w:rFonts w:ascii="Arial Narrow" w:hAnsi="Arial Narrow"/>
        </w:rPr>
        <w:t xml:space="preserve">The European Convention on Human Rights is not a </w:t>
      </w:r>
      <w:r w:rsidR="00E51D49">
        <w:rPr>
          <w:rFonts w:ascii="Arial Narrow" w:hAnsi="Arial Narrow"/>
        </w:rPr>
        <w:t>“</w:t>
      </w:r>
      <w:r>
        <w:rPr>
          <w:rFonts w:ascii="Arial Narrow" w:hAnsi="Arial Narrow"/>
        </w:rPr>
        <w:t>suicidal</w:t>
      </w:r>
      <w:r w:rsidR="00E51D49">
        <w:rPr>
          <w:rFonts w:ascii="Arial Narrow" w:hAnsi="Arial Narrow"/>
        </w:rPr>
        <w:t>”</w:t>
      </w:r>
      <w:r>
        <w:rPr>
          <w:rFonts w:ascii="Arial Narrow" w:hAnsi="Arial Narrow"/>
        </w:rPr>
        <w:t xml:space="preserve"> convention. But the Executive cannot be left in a position of power </w:t>
      </w:r>
      <w:r w:rsidRPr="00A35987">
        <w:rPr>
          <w:rFonts w:ascii="Arial Narrow" w:hAnsi="Arial Narrow"/>
        </w:rPr>
        <w:t xml:space="preserve">with no effective </w:t>
      </w:r>
      <w:r w:rsidR="00E51D49">
        <w:rPr>
          <w:rFonts w:ascii="Arial Narrow" w:hAnsi="Arial Narrow"/>
        </w:rPr>
        <w:t>control</w:t>
      </w:r>
      <w:r w:rsidRPr="007B03F8">
        <w:rPr>
          <w:rFonts w:ascii="Arial Narrow" w:hAnsi="Arial Narrow"/>
        </w:rPr>
        <w:t xml:space="preserve">. </w:t>
      </w:r>
      <w:r>
        <w:rPr>
          <w:rFonts w:ascii="Arial Narrow" w:hAnsi="Arial Narrow"/>
        </w:rPr>
        <w:t xml:space="preserve">Restrictions on individual freedoms must be limited to </w:t>
      </w:r>
      <w:r w:rsidRPr="00FA3B02">
        <w:rPr>
          <w:rFonts w:ascii="Arial Narrow" w:hAnsi="Arial Narrow"/>
        </w:rPr>
        <w:t>what is absolutely necessary</w:t>
      </w:r>
      <w:r>
        <w:rPr>
          <w:rFonts w:ascii="Arial Narrow" w:hAnsi="Arial Narrow"/>
        </w:rPr>
        <w:t>, they must be temporary and subject to a regular assessment process. They must be targeted with sufficient precision and must not encompass other phenomena, maybe even categories of undesirable persons.</w:t>
      </w:r>
    </w:p>
    <w:p w14:paraId="34E18DE7" w14:textId="77777777" w:rsidR="00895297" w:rsidRDefault="00895297" w:rsidP="00895297">
      <w:pPr>
        <w:tabs>
          <w:tab w:val="left" w:pos="567"/>
          <w:tab w:val="left" w:pos="993"/>
        </w:tabs>
        <w:spacing w:line="480" w:lineRule="auto"/>
        <w:jc w:val="both"/>
        <w:rPr>
          <w:rFonts w:ascii="Arial Narrow" w:hAnsi="Arial Narrow"/>
        </w:rPr>
      </w:pPr>
    </w:p>
    <w:p w14:paraId="4C0D988E" w14:textId="44C454CD" w:rsidR="00895297" w:rsidRPr="007B03F8" w:rsidRDefault="00895297" w:rsidP="00895297">
      <w:pPr>
        <w:tabs>
          <w:tab w:val="left" w:pos="567"/>
          <w:tab w:val="left" w:pos="993"/>
        </w:tabs>
        <w:spacing w:line="480" w:lineRule="auto"/>
        <w:jc w:val="both"/>
        <w:rPr>
          <w:rFonts w:ascii="Arial Narrow" w:hAnsi="Arial Narrow"/>
        </w:rPr>
      </w:pPr>
      <w:r>
        <w:rPr>
          <w:rFonts w:ascii="Arial Narrow" w:hAnsi="Arial Narrow"/>
        </w:rPr>
        <w:tab/>
        <w:t>5</w:t>
      </w:r>
      <w:r w:rsidR="008D4FE1">
        <w:rPr>
          <w:rFonts w:ascii="Arial Narrow" w:hAnsi="Arial Narrow"/>
        </w:rPr>
        <w:t>5</w:t>
      </w:r>
      <w:r>
        <w:rPr>
          <w:rFonts w:ascii="Arial Narrow" w:hAnsi="Arial Narrow"/>
        </w:rPr>
        <w:t>.  I</w:t>
      </w:r>
      <w:r w:rsidRPr="007B03F8">
        <w:rPr>
          <w:rFonts w:ascii="Arial Narrow" w:hAnsi="Arial Narrow"/>
        </w:rPr>
        <w:t> </w:t>
      </w:r>
      <w:r>
        <w:rPr>
          <w:rFonts w:ascii="Arial Narrow" w:hAnsi="Arial Narrow"/>
        </w:rPr>
        <w:t>am thinking here of migrants and refugees</w:t>
      </w:r>
      <w:r w:rsidRPr="007B03F8">
        <w:rPr>
          <w:rFonts w:ascii="Arial Narrow" w:hAnsi="Arial Narrow"/>
        </w:rPr>
        <w:t xml:space="preserve">. “Overly-restrictive migration policies introduced because of terrorism concerns are not justified and may in fact be damaging to </w:t>
      </w:r>
      <w:r>
        <w:rPr>
          <w:rFonts w:ascii="Arial Narrow" w:hAnsi="Arial Narrow"/>
        </w:rPr>
        <w:t>S</w:t>
      </w:r>
      <w:r w:rsidRPr="007B03F8">
        <w:rPr>
          <w:rFonts w:ascii="Arial Narrow" w:hAnsi="Arial Narrow"/>
        </w:rPr>
        <w:t>tate security,” warned the United Nations Special Rapporteur on counter-terrorism and human rights before the UN General Assembly on 21 October 2016. Presenting his last report on the impact of counter-terrorism on the human rights of migrants and refugees, Ben Emmerson showed that “while there is no evidence that migration leads to increased terrorist activity, migration policies that are restrictive or that violate human rights may in fact create conditions conducive to terrorism”</w:t>
      </w:r>
      <w:r w:rsidRPr="007B03F8">
        <w:rPr>
          <w:rStyle w:val="FootnoteReference"/>
          <w:rFonts w:ascii="Arial Narrow" w:hAnsi="Arial Narrow"/>
        </w:rPr>
        <w:footnoteReference w:id="70"/>
      </w:r>
      <w:r w:rsidRPr="007B03F8">
        <w:rPr>
          <w:rFonts w:ascii="Arial Narrow" w:hAnsi="Arial Narrow"/>
        </w:rPr>
        <w:t>.</w:t>
      </w:r>
    </w:p>
    <w:p w14:paraId="40A25DEC" w14:textId="77777777" w:rsidR="00895297" w:rsidRPr="007B03F8" w:rsidRDefault="00895297" w:rsidP="00895297">
      <w:pPr>
        <w:tabs>
          <w:tab w:val="left" w:pos="567"/>
          <w:tab w:val="left" w:pos="993"/>
        </w:tabs>
        <w:spacing w:line="480" w:lineRule="auto"/>
        <w:jc w:val="both"/>
        <w:rPr>
          <w:rFonts w:ascii="Arial Narrow" w:hAnsi="Arial Narrow"/>
        </w:rPr>
      </w:pPr>
    </w:p>
    <w:p w14:paraId="2FF9F483" w14:textId="0F553AA2" w:rsidR="00895297" w:rsidRPr="00B71DB6" w:rsidRDefault="00895297" w:rsidP="00895297">
      <w:pPr>
        <w:tabs>
          <w:tab w:val="left" w:pos="567"/>
          <w:tab w:val="left" w:pos="993"/>
        </w:tabs>
        <w:spacing w:line="480" w:lineRule="auto"/>
        <w:jc w:val="both"/>
      </w:pPr>
      <w:r w:rsidRPr="007B03F8">
        <w:rPr>
          <w:rFonts w:ascii="Arial Narrow" w:hAnsi="Arial Narrow"/>
        </w:rPr>
        <w:tab/>
      </w:r>
      <w:r>
        <w:rPr>
          <w:rFonts w:ascii="Arial Narrow" w:hAnsi="Arial Narrow"/>
        </w:rPr>
        <w:t>5</w:t>
      </w:r>
      <w:r w:rsidR="008D4FE1">
        <w:rPr>
          <w:rFonts w:ascii="Arial Narrow" w:hAnsi="Arial Narrow"/>
        </w:rPr>
        <w:t>6</w:t>
      </w:r>
      <w:r w:rsidRPr="007B03F8">
        <w:rPr>
          <w:rFonts w:ascii="Arial Narrow" w:hAnsi="Arial Narrow"/>
        </w:rPr>
        <w:t>.  </w:t>
      </w:r>
      <w:r>
        <w:rPr>
          <w:rFonts w:ascii="Arial Narrow" w:hAnsi="Arial Narrow"/>
        </w:rPr>
        <w:t xml:space="preserve">The rule of law cannot accept snap legislation and never can fear be a valid reason for violating fundamental human rights. While in Hobbes political philosophy </w:t>
      </w:r>
      <w:r w:rsidRPr="00F62260">
        <w:rPr>
          <w:rFonts w:ascii="Arial Narrow" w:hAnsi="Arial Narrow"/>
        </w:rPr>
        <w:t xml:space="preserve">the State is </w:t>
      </w:r>
      <w:r>
        <w:rPr>
          <w:rFonts w:ascii="Arial Narrow" w:hAnsi="Arial Narrow"/>
        </w:rPr>
        <w:t>“</w:t>
      </w:r>
      <w:r w:rsidRPr="00F62260">
        <w:rPr>
          <w:rFonts w:ascii="Arial Narrow" w:hAnsi="Arial Narrow"/>
        </w:rPr>
        <w:t>that which effectively brings an end to fear</w:t>
      </w:r>
      <w:r>
        <w:rPr>
          <w:rFonts w:ascii="Arial Narrow" w:hAnsi="Arial Narrow"/>
        </w:rPr>
        <w:t>”, in the Security State, “</w:t>
      </w:r>
      <w:r w:rsidRPr="00B71DB6">
        <w:rPr>
          <w:rFonts w:ascii="Arial Narrow" w:hAnsi="Arial Narrow"/>
        </w:rPr>
        <w:t>this schema is reversed: the State is durably grounded in fear and must, at all cost, maintain it, because it draws from it its essential function and its</w:t>
      </w:r>
      <w:r>
        <w:rPr>
          <w:rFonts w:ascii="Arial Narrow" w:hAnsi="Arial Narrow"/>
        </w:rPr>
        <w:t xml:space="preserve"> legitimacy</w:t>
      </w:r>
      <w:r>
        <w:t>”</w:t>
      </w:r>
      <w:r w:rsidRPr="007B03F8">
        <w:rPr>
          <w:rStyle w:val="FootnoteReference"/>
          <w:rFonts w:ascii="Arial Narrow" w:hAnsi="Arial Narrow"/>
        </w:rPr>
        <w:footnoteReference w:id="71"/>
      </w:r>
      <w:r w:rsidRPr="007B03F8">
        <w:rPr>
          <w:rFonts w:ascii="Arial Narrow" w:hAnsi="Arial Narrow"/>
        </w:rPr>
        <w:t>.</w:t>
      </w:r>
      <w:r>
        <w:rPr>
          <w:rFonts w:ascii="Arial Narrow" w:hAnsi="Arial Narrow"/>
        </w:rPr>
        <w:t xml:space="preserve"> In this respect, I regret that the political authorities do not further play or do not longer play their prominent role of peacekeeper. </w:t>
      </w:r>
      <w:r w:rsidRPr="00E77CBA">
        <w:rPr>
          <w:rFonts w:ascii="Arial Narrow" w:hAnsi="Arial Narrow"/>
        </w:rPr>
        <w:t xml:space="preserve">Within a complex reality such as </w:t>
      </w:r>
      <w:r>
        <w:rPr>
          <w:rFonts w:ascii="Arial Narrow" w:hAnsi="Arial Narrow"/>
        </w:rPr>
        <w:t>terrorism</w:t>
      </w:r>
      <w:r w:rsidRPr="007B03F8">
        <w:rPr>
          <w:rFonts w:ascii="Arial Narrow" w:hAnsi="Arial Narrow"/>
        </w:rPr>
        <w:t xml:space="preserve">, </w:t>
      </w:r>
      <w:r>
        <w:rPr>
          <w:rFonts w:ascii="Arial Narrow" w:hAnsi="Arial Narrow"/>
        </w:rPr>
        <w:t xml:space="preserve">Governments must play a pedagogical and not a demagogic role. </w:t>
      </w:r>
      <w:r w:rsidRPr="007B03F8">
        <w:rPr>
          <w:rFonts w:ascii="Arial Narrow" w:hAnsi="Arial Narrow"/>
        </w:rPr>
        <w:t xml:space="preserve"> </w:t>
      </w:r>
    </w:p>
    <w:p w14:paraId="23260DE6" w14:textId="77777777" w:rsidR="00895297" w:rsidRPr="007B03F8" w:rsidRDefault="00895297" w:rsidP="00895297">
      <w:pPr>
        <w:tabs>
          <w:tab w:val="left" w:pos="567"/>
          <w:tab w:val="left" w:pos="993"/>
        </w:tabs>
        <w:spacing w:line="480" w:lineRule="auto"/>
        <w:jc w:val="both"/>
        <w:rPr>
          <w:rFonts w:ascii="Arial Narrow" w:hAnsi="Arial Narrow"/>
        </w:rPr>
      </w:pPr>
    </w:p>
    <w:p w14:paraId="05EFEEE6" w14:textId="3016078D" w:rsidR="00895297" w:rsidRPr="007B03F8" w:rsidRDefault="00895297" w:rsidP="00895297">
      <w:pPr>
        <w:tabs>
          <w:tab w:val="left" w:pos="567"/>
          <w:tab w:val="left" w:pos="993"/>
        </w:tabs>
        <w:spacing w:line="480" w:lineRule="auto"/>
        <w:jc w:val="both"/>
        <w:rPr>
          <w:rFonts w:ascii="Arial Narrow" w:hAnsi="Arial Narrow"/>
        </w:rPr>
      </w:pPr>
      <w:r w:rsidRPr="007B03F8">
        <w:rPr>
          <w:rFonts w:ascii="Arial Narrow" w:hAnsi="Arial Narrow"/>
        </w:rPr>
        <w:tab/>
      </w:r>
      <w:r>
        <w:rPr>
          <w:rFonts w:ascii="Arial Narrow" w:hAnsi="Arial Narrow"/>
        </w:rPr>
        <w:t>5</w:t>
      </w:r>
      <w:r w:rsidR="008D4FE1">
        <w:rPr>
          <w:rFonts w:ascii="Arial Narrow" w:hAnsi="Arial Narrow"/>
        </w:rPr>
        <w:t>7</w:t>
      </w:r>
      <w:r>
        <w:rPr>
          <w:rFonts w:ascii="Arial Narrow" w:hAnsi="Arial Narrow"/>
        </w:rPr>
        <w:t>.</w:t>
      </w:r>
      <w:r w:rsidRPr="007B03F8">
        <w:rPr>
          <w:rFonts w:ascii="Arial Narrow" w:hAnsi="Arial Narrow"/>
        </w:rPr>
        <w:t>  </w:t>
      </w:r>
      <w:r>
        <w:rPr>
          <w:rFonts w:ascii="Arial Narrow" w:hAnsi="Arial Narrow"/>
        </w:rPr>
        <w:t>In a recent book</w:t>
      </w:r>
      <w:r w:rsidRPr="007B03F8">
        <w:rPr>
          <w:rFonts w:ascii="Arial Narrow" w:hAnsi="Arial Narrow"/>
        </w:rPr>
        <w:t xml:space="preserve">, </w:t>
      </w:r>
      <w:r w:rsidRPr="00BE1907">
        <w:rPr>
          <w:rFonts w:ascii="Arial Narrow" w:hAnsi="Arial Narrow"/>
          <w:i/>
        </w:rPr>
        <w:t>The Crisis of the European Union: A Response</w:t>
      </w:r>
      <w:r>
        <w:rPr>
          <w:rFonts w:ascii="Arial Narrow" w:hAnsi="Arial Narrow"/>
        </w:rPr>
        <w:t xml:space="preserve">, </w:t>
      </w:r>
      <w:r w:rsidRPr="007B03F8">
        <w:rPr>
          <w:rFonts w:ascii="Arial Narrow" w:hAnsi="Arial Narrow"/>
        </w:rPr>
        <w:t xml:space="preserve">Habermas </w:t>
      </w:r>
      <w:r w:rsidRPr="00BA0DD8">
        <w:rPr>
          <w:rFonts w:ascii="Arial Narrow" w:hAnsi="Arial Narrow"/>
        </w:rPr>
        <w:t>expands on what he calls “the realistic utopia of human rights”</w:t>
      </w:r>
      <w:r w:rsidRPr="007B03F8">
        <w:rPr>
          <w:rStyle w:val="FootnoteReference"/>
          <w:rFonts w:ascii="Arial Narrow" w:hAnsi="Arial Narrow"/>
        </w:rPr>
        <w:footnoteReference w:id="72"/>
      </w:r>
      <w:r w:rsidRPr="007B03F8">
        <w:rPr>
          <w:rFonts w:ascii="Arial Narrow" w:hAnsi="Arial Narrow"/>
        </w:rPr>
        <w:t xml:space="preserve">. </w:t>
      </w:r>
      <w:r w:rsidRPr="00AC6AB9">
        <w:rPr>
          <w:rFonts w:ascii="Arial Narrow" w:hAnsi="Arial Narrow"/>
        </w:rPr>
        <w:t>“The origin of human rights in the moral notion of human dignity explains the explosive political force of a concrete utopia”</w:t>
      </w:r>
      <w:r w:rsidRPr="007B03F8">
        <w:rPr>
          <w:rStyle w:val="FootnoteReference"/>
          <w:rFonts w:ascii="Arial Narrow" w:hAnsi="Arial Narrow"/>
        </w:rPr>
        <w:footnoteReference w:id="73"/>
      </w:r>
      <w:r w:rsidRPr="00AC6AB9">
        <w:rPr>
          <w:rFonts w:ascii="Arial Narrow" w:hAnsi="Arial Narrow"/>
        </w:rPr>
        <w:t xml:space="preserve">. </w:t>
      </w:r>
      <w:r w:rsidRPr="00BA0DD8">
        <w:rPr>
          <w:rFonts w:ascii="Arial Narrow" w:hAnsi="Arial Narrow"/>
        </w:rPr>
        <w:t xml:space="preserve">Far from taking an idealistic but noncommittal stance or adopting the cynical pose of the so-called realists, human rights constitute a realistic utopia insofar as they anchor the ideal of a just society in the institutions of </w:t>
      </w:r>
      <w:r>
        <w:rPr>
          <w:rFonts w:ascii="Arial Narrow" w:hAnsi="Arial Narrow"/>
        </w:rPr>
        <w:t>democratic</w:t>
      </w:r>
      <w:r w:rsidRPr="00BA0DD8">
        <w:rPr>
          <w:rFonts w:ascii="Arial Narrow" w:hAnsi="Arial Narrow"/>
        </w:rPr>
        <w:t xml:space="preserve"> </w:t>
      </w:r>
      <w:r>
        <w:rPr>
          <w:rFonts w:ascii="Arial Narrow" w:hAnsi="Arial Narrow"/>
        </w:rPr>
        <w:t>S</w:t>
      </w:r>
      <w:r w:rsidRPr="00BA0DD8">
        <w:rPr>
          <w:rFonts w:ascii="Arial Narrow" w:hAnsi="Arial Narrow"/>
        </w:rPr>
        <w:t xml:space="preserve">tates themselves. </w:t>
      </w:r>
      <w:r>
        <w:rPr>
          <w:rFonts w:ascii="Arial Narrow" w:hAnsi="Arial Narrow"/>
        </w:rPr>
        <w:t>This utopia is very simply the right to think of the future and to think of it differently</w:t>
      </w:r>
      <w:r w:rsidRPr="007B03F8">
        <w:rPr>
          <w:rFonts w:ascii="Arial Narrow" w:hAnsi="Arial Narrow"/>
        </w:rPr>
        <w:t xml:space="preserve">. </w:t>
      </w:r>
    </w:p>
    <w:p w14:paraId="4CC72306" w14:textId="77777777" w:rsidR="006960C5" w:rsidRPr="007B03F8" w:rsidRDefault="006960C5" w:rsidP="00492DB6">
      <w:pPr>
        <w:tabs>
          <w:tab w:val="left" w:pos="567"/>
        </w:tabs>
        <w:spacing w:line="480" w:lineRule="auto"/>
        <w:jc w:val="both"/>
        <w:rPr>
          <w:rFonts w:ascii="Arial Narrow" w:hAnsi="Arial Narrow"/>
        </w:rPr>
      </w:pPr>
    </w:p>
    <w:sectPr w:rsidR="006960C5" w:rsidRPr="007B03F8" w:rsidSect="001E1585">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A6E2D" w14:textId="77777777" w:rsidR="00696F04" w:rsidRDefault="00696F04">
      <w:r>
        <w:separator/>
      </w:r>
    </w:p>
  </w:endnote>
  <w:endnote w:type="continuationSeparator" w:id="0">
    <w:p w14:paraId="238E9951" w14:textId="77777777" w:rsidR="00696F04" w:rsidRDefault="0069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3C921" w14:textId="77777777" w:rsidR="007C736A" w:rsidRDefault="007C736A" w:rsidP="00404F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7C8F7" w14:textId="77777777" w:rsidR="007C736A" w:rsidRDefault="007C736A" w:rsidP="002F09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E98CF" w14:textId="77777777" w:rsidR="007C736A" w:rsidRPr="00404F61" w:rsidRDefault="007C736A" w:rsidP="00404F61">
    <w:pPr>
      <w:pStyle w:val="Footer"/>
      <w:framePr w:wrap="around" w:vAnchor="text" w:hAnchor="margin" w:xAlign="center" w:y="1"/>
      <w:rPr>
        <w:rStyle w:val="PageNumber"/>
        <w:rFonts w:ascii="Arial Narrow" w:hAnsi="Arial Narrow"/>
        <w:sz w:val="20"/>
        <w:szCs w:val="20"/>
      </w:rPr>
    </w:pPr>
    <w:r w:rsidRPr="00404F61">
      <w:rPr>
        <w:rStyle w:val="PageNumber"/>
        <w:rFonts w:ascii="Arial Narrow" w:hAnsi="Arial Narrow"/>
        <w:sz w:val="20"/>
        <w:szCs w:val="20"/>
      </w:rPr>
      <w:fldChar w:fldCharType="begin"/>
    </w:r>
    <w:r>
      <w:rPr>
        <w:rStyle w:val="PageNumber"/>
        <w:rFonts w:ascii="Arial Narrow" w:hAnsi="Arial Narrow"/>
        <w:sz w:val="20"/>
        <w:szCs w:val="20"/>
      </w:rPr>
      <w:instrText>PAGE</w:instrText>
    </w:r>
    <w:r w:rsidRPr="00404F61">
      <w:rPr>
        <w:rStyle w:val="PageNumber"/>
        <w:rFonts w:ascii="Arial Narrow" w:hAnsi="Arial Narrow"/>
        <w:sz w:val="20"/>
        <w:szCs w:val="20"/>
      </w:rPr>
      <w:instrText xml:space="preserve">  </w:instrText>
    </w:r>
    <w:r w:rsidRPr="00404F61">
      <w:rPr>
        <w:rStyle w:val="PageNumber"/>
        <w:rFonts w:ascii="Arial Narrow" w:hAnsi="Arial Narrow"/>
        <w:sz w:val="20"/>
        <w:szCs w:val="20"/>
      </w:rPr>
      <w:fldChar w:fldCharType="separate"/>
    </w:r>
    <w:r w:rsidR="000D7C14">
      <w:rPr>
        <w:rStyle w:val="PageNumber"/>
        <w:rFonts w:ascii="Arial Narrow" w:hAnsi="Arial Narrow"/>
        <w:noProof/>
        <w:sz w:val="20"/>
        <w:szCs w:val="20"/>
      </w:rPr>
      <w:t>1</w:t>
    </w:r>
    <w:r w:rsidRPr="00404F61">
      <w:rPr>
        <w:rStyle w:val="PageNumber"/>
        <w:rFonts w:ascii="Arial Narrow" w:hAnsi="Arial Narrow"/>
        <w:sz w:val="20"/>
        <w:szCs w:val="20"/>
      </w:rPr>
      <w:fldChar w:fldCharType="end"/>
    </w:r>
  </w:p>
  <w:p w14:paraId="42590A73" w14:textId="77777777" w:rsidR="007C736A" w:rsidRPr="000A3154" w:rsidRDefault="007C736A" w:rsidP="002F0995">
    <w:pPr>
      <w:pStyle w:val="Footer"/>
      <w:ind w:right="360"/>
      <w:jc w:val="center"/>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5310D" w14:textId="77777777" w:rsidR="00696F04" w:rsidRDefault="00696F04">
      <w:r>
        <w:separator/>
      </w:r>
    </w:p>
  </w:footnote>
  <w:footnote w:type="continuationSeparator" w:id="0">
    <w:p w14:paraId="6CC6AC20" w14:textId="77777777" w:rsidR="00696F04" w:rsidRDefault="00696F04">
      <w:r>
        <w:continuationSeparator/>
      </w:r>
    </w:p>
  </w:footnote>
  <w:footnote w:id="1">
    <w:p w14:paraId="60ACA5D3" w14:textId="77777777" w:rsidR="007C736A" w:rsidRPr="003E224D" w:rsidRDefault="007C736A" w:rsidP="00895297">
      <w:pPr>
        <w:pStyle w:val="FootnoteText"/>
        <w:widowControl w:val="0"/>
        <w:tabs>
          <w:tab w:val="left" w:pos="284"/>
        </w:tabs>
        <w:jc w:val="both"/>
        <w:rPr>
          <w:rFonts w:ascii="Arial Narrow" w:hAnsi="Arial Narrow"/>
          <w:lang w:val="fr-FR"/>
        </w:rPr>
      </w:pPr>
      <w:r w:rsidRPr="006B620B">
        <w:rPr>
          <w:rStyle w:val="FootnoteReference"/>
          <w:rFonts w:ascii="Arial Narrow" w:hAnsi="Arial Narrow"/>
        </w:rPr>
        <w:footnoteRef/>
      </w:r>
      <w:r w:rsidRPr="003E224D">
        <w:rPr>
          <w:rFonts w:ascii="Arial Narrow" w:hAnsi="Arial Narrow"/>
          <w:lang w:val="fr-FR"/>
        </w:rPr>
        <w:t xml:space="preserve">. M. </w:t>
      </w:r>
      <w:r w:rsidRPr="003E224D">
        <w:rPr>
          <w:rFonts w:ascii="Arial Narrow" w:hAnsi="Arial Narrow"/>
          <w:smallCaps/>
          <w:lang w:val="fr-FR"/>
        </w:rPr>
        <w:t>Troper</w:t>
      </w:r>
      <w:r w:rsidRPr="003E224D">
        <w:rPr>
          <w:rFonts w:ascii="Arial Narrow" w:hAnsi="Arial Narrow"/>
          <w:lang w:val="fr-FR"/>
        </w:rPr>
        <w:t xml:space="preserve">, “Le concept d’Etat de droit”, </w:t>
      </w:r>
      <w:r w:rsidRPr="003E224D">
        <w:rPr>
          <w:rFonts w:ascii="Arial Narrow" w:hAnsi="Arial Narrow"/>
          <w:i/>
          <w:lang w:val="fr-FR"/>
        </w:rPr>
        <w:t>Droits</w:t>
      </w:r>
      <w:r w:rsidRPr="003E224D">
        <w:rPr>
          <w:rFonts w:ascii="Arial Narrow" w:hAnsi="Arial Narrow"/>
          <w:lang w:val="fr-FR"/>
        </w:rPr>
        <w:t xml:space="preserve">, no. 15, 1992, pp. 51 et seq.   </w:t>
      </w:r>
    </w:p>
  </w:footnote>
  <w:footnote w:id="2">
    <w:p w14:paraId="5A62794D" w14:textId="77777777" w:rsidR="007C736A" w:rsidRPr="003E224D" w:rsidRDefault="007C736A" w:rsidP="00895297">
      <w:pPr>
        <w:pStyle w:val="FootnoteText"/>
        <w:widowControl w:val="0"/>
        <w:tabs>
          <w:tab w:val="left" w:pos="284"/>
        </w:tabs>
        <w:jc w:val="both"/>
        <w:rPr>
          <w:rFonts w:ascii="Arial Narrow" w:hAnsi="Arial Narrow"/>
          <w:lang w:val="fr-FR"/>
        </w:rPr>
      </w:pPr>
      <w:r w:rsidRPr="006B620B">
        <w:rPr>
          <w:rStyle w:val="FootnoteReference"/>
          <w:rFonts w:ascii="Arial Narrow" w:hAnsi="Arial Narrow"/>
        </w:rPr>
        <w:footnoteRef/>
      </w:r>
      <w:r w:rsidRPr="003E224D">
        <w:rPr>
          <w:rFonts w:ascii="Arial Narrow" w:hAnsi="Arial Narrow"/>
          <w:lang w:val="fr-FR"/>
        </w:rPr>
        <w:t xml:space="preserve">. D. </w:t>
      </w:r>
      <w:r w:rsidRPr="003E224D">
        <w:rPr>
          <w:rFonts w:ascii="Arial Narrow" w:hAnsi="Arial Narrow"/>
          <w:smallCaps/>
          <w:lang w:val="fr-FR"/>
        </w:rPr>
        <w:t>Rousseau</w:t>
      </w:r>
      <w:r w:rsidRPr="003E224D">
        <w:rPr>
          <w:rFonts w:ascii="Arial Narrow" w:hAnsi="Arial Narrow"/>
          <w:lang w:val="fr-FR"/>
        </w:rPr>
        <w:t xml:space="preserve">, “Mon plaidoyer pour l’Etat de droit”, Tribune, </w:t>
      </w:r>
      <w:r w:rsidRPr="003E224D">
        <w:rPr>
          <w:rFonts w:ascii="Arial Narrow" w:hAnsi="Arial Narrow"/>
          <w:i/>
          <w:lang w:val="fr-FR"/>
        </w:rPr>
        <w:t>Libération</w:t>
      </w:r>
      <w:r w:rsidRPr="003E224D">
        <w:rPr>
          <w:rFonts w:ascii="Arial Narrow" w:hAnsi="Arial Narrow"/>
          <w:lang w:val="fr-FR"/>
        </w:rPr>
        <w:t xml:space="preserve">, 17 August 2016.   </w:t>
      </w:r>
    </w:p>
  </w:footnote>
  <w:footnote w:id="3">
    <w:p w14:paraId="0ED45D29" w14:textId="77777777" w:rsidR="007C736A" w:rsidRPr="006B620B" w:rsidRDefault="007C736A" w:rsidP="00895297">
      <w:pPr>
        <w:pStyle w:val="FootnoteText"/>
        <w:widowControl w:val="0"/>
        <w:tabs>
          <w:tab w:val="left" w:pos="284"/>
        </w:tabs>
        <w:jc w:val="both"/>
        <w:rPr>
          <w:rFonts w:ascii="Arial Narrow" w:hAnsi="Arial Narrow"/>
        </w:rPr>
      </w:pPr>
      <w:r w:rsidRPr="006B620B">
        <w:rPr>
          <w:rStyle w:val="FootnoteReference"/>
          <w:rFonts w:ascii="Arial Narrow" w:hAnsi="Arial Narrow"/>
        </w:rPr>
        <w:footnoteRef/>
      </w:r>
      <w:r w:rsidRPr="006B620B">
        <w:rPr>
          <w:rFonts w:ascii="Arial Narrow" w:hAnsi="Arial Narrow"/>
        </w:rPr>
        <w:t xml:space="preserve">. </w:t>
      </w:r>
      <w:r>
        <w:rPr>
          <w:rFonts w:ascii="Arial Narrow" w:hAnsi="Arial Narrow"/>
          <w:i/>
        </w:rPr>
        <w:t>The Principle of the Rule of Law</w:t>
      </w:r>
      <w:r w:rsidRPr="006B620B">
        <w:rPr>
          <w:rFonts w:ascii="Arial Narrow" w:hAnsi="Arial Narrow"/>
        </w:rPr>
        <w:t>, R</w:t>
      </w:r>
      <w:r>
        <w:rPr>
          <w:rFonts w:ascii="Arial Narrow" w:hAnsi="Arial Narrow"/>
        </w:rPr>
        <w:t>eport of the</w:t>
      </w:r>
      <w:r w:rsidRPr="006B620B">
        <w:rPr>
          <w:rFonts w:ascii="Arial Narrow" w:hAnsi="Arial Narrow"/>
        </w:rPr>
        <w:t xml:space="preserve"> </w:t>
      </w:r>
      <w:r w:rsidRPr="000D216A">
        <w:rPr>
          <w:rFonts w:ascii="Arial Narrow" w:hAnsi="Arial Narrow"/>
        </w:rPr>
        <w:t>Committee on Legal Affairs and Human Rights</w:t>
      </w:r>
      <w:r>
        <w:rPr>
          <w:rFonts w:ascii="Arial Narrow" w:hAnsi="Arial Narrow"/>
        </w:rPr>
        <w:t xml:space="preserve"> of the Council of Europe Parliamentary Assembly (rapporteur</w:t>
      </w:r>
      <w:r w:rsidRPr="006B620B">
        <w:rPr>
          <w:rFonts w:ascii="Arial Narrow" w:hAnsi="Arial Narrow"/>
        </w:rPr>
        <w:t xml:space="preserve">: E. Jurgens), doc. 11343, 6 </w:t>
      </w:r>
      <w:r>
        <w:rPr>
          <w:rFonts w:ascii="Arial Narrow" w:hAnsi="Arial Narrow"/>
        </w:rPr>
        <w:t>July</w:t>
      </w:r>
      <w:r w:rsidRPr="006B620B">
        <w:rPr>
          <w:rFonts w:ascii="Arial Narrow" w:hAnsi="Arial Narrow"/>
        </w:rPr>
        <w:t xml:space="preserve"> 2007. </w:t>
      </w:r>
      <w:r>
        <w:rPr>
          <w:rFonts w:ascii="Arial Narrow" w:hAnsi="Arial Narrow"/>
        </w:rPr>
        <w:t xml:space="preserve">See also </w:t>
      </w:r>
      <w:r w:rsidRPr="006B620B">
        <w:rPr>
          <w:rFonts w:ascii="Arial Narrow" w:hAnsi="Arial Narrow" w:cs="Arabic Typesetting"/>
          <w:noProof/>
        </w:rPr>
        <w:t xml:space="preserve">T. </w:t>
      </w:r>
      <w:r w:rsidRPr="006B620B">
        <w:rPr>
          <w:rFonts w:ascii="Arial Narrow" w:hAnsi="Arial Narrow" w:cs="Arabic Typesetting"/>
          <w:smallCaps/>
          <w:noProof/>
        </w:rPr>
        <w:t>Bingham</w:t>
      </w:r>
      <w:r w:rsidRPr="006B620B">
        <w:rPr>
          <w:rFonts w:ascii="Arial Narrow" w:hAnsi="Arial Narrow" w:cs="Arabic Typesetting"/>
          <w:noProof/>
        </w:rPr>
        <w:t xml:space="preserve">, </w:t>
      </w:r>
      <w:r w:rsidRPr="006B620B">
        <w:rPr>
          <w:rFonts w:ascii="Arial Narrow" w:hAnsi="Arial Narrow" w:cs="Arabic Typesetting"/>
          <w:i/>
          <w:noProof/>
        </w:rPr>
        <w:t>The Rule of Law</w:t>
      </w:r>
      <w:r w:rsidRPr="006B620B">
        <w:rPr>
          <w:rFonts w:ascii="Arial Narrow" w:hAnsi="Arial Narrow" w:cs="Arabic Typesetting"/>
          <w:noProof/>
        </w:rPr>
        <w:t>, London, Penguin Book, 2011.</w:t>
      </w:r>
    </w:p>
  </w:footnote>
  <w:footnote w:id="4">
    <w:p w14:paraId="0406ADBD" w14:textId="77777777" w:rsidR="007C736A" w:rsidRPr="006B620B" w:rsidRDefault="007C736A" w:rsidP="00895297">
      <w:pPr>
        <w:pStyle w:val="FootnoteText"/>
        <w:widowControl w:val="0"/>
        <w:tabs>
          <w:tab w:val="left" w:pos="284"/>
        </w:tabs>
        <w:jc w:val="both"/>
        <w:rPr>
          <w:rFonts w:ascii="Arial Narrow" w:hAnsi="Arial Narrow"/>
        </w:rPr>
      </w:pPr>
      <w:r w:rsidRPr="006B620B">
        <w:rPr>
          <w:rStyle w:val="FootnoteReference"/>
          <w:rFonts w:ascii="Arial Narrow" w:hAnsi="Arial Narrow"/>
        </w:rPr>
        <w:footnoteRef/>
      </w:r>
      <w:r w:rsidRPr="006B620B">
        <w:rPr>
          <w:rFonts w:ascii="Arial Narrow" w:hAnsi="Arial Narrow"/>
        </w:rPr>
        <w:t xml:space="preserve">. </w:t>
      </w:r>
      <w:r>
        <w:rPr>
          <w:rFonts w:ascii="Arial Narrow" w:hAnsi="Arial Narrow"/>
        </w:rPr>
        <w:t>See</w:t>
      </w:r>
      <w:r w:rsidRPr="006B620B">
        <w:rPr>
          <w:rFonts w:ascii="Arial Narrow" w:hAnsi="Arial Narrow"/>
        </w:rPr>
        <w:t xml:space="preserve"> J. </w:t>
      </w:r>
      <w:r w:rsidRPr="006B620B">
        <w:rPr>
          <w:rFonts w:ascii="Arial Narrow" w:hAnsi="Arial Narrow" w:cs="Arabic Typesetting"/>
          <w:smallCaps/>
          <w:noProof/>
        </w:rPr>
        <w:t>Chevalier</w:t>
      </w:r>
      <w:r w:rsidRPr="006B620B">
        <w:rPr>
          <w:rFonts w:ascii="Arial Narrow" w:hAnsi="Arial Narrow"/>
        </w:rPr>
        <w:t xml:space="preserve">, </w:t>
      </w:r>
      <w:r w:rsidRPr="006B620B">
        <w:rPr>
          <w:rFonts w:ascii="Arial Narrow" w:hAnsi="Arial Narrow"/>
          <w:i/>
        </w:rPr>
        <w:t>L’Etat de droit</w:t>
      </w:r>
      <w:r w:rsidRPr="006B620B">
        <w:rPr>
          <w:rFonts w:ascii="Arial Narrow" w:hAnsi="Arial Narrow"/>
        </w:rPr>
        <w:t>, Paris, Montchrestien, 4</w:t>
      </w:r>
      <w:r>
        <w:rPr>
          <w:rFonts w:ascii="Arial Narrow" w:hAnsi="Arial Narrow"/>
          <w:vertAlign w:val="superscript"/>
        </w:rPr>
        <w:t>th</w:t>
      </w:r>
      <w:r w:rsidRPr="006B620B">
        <w:rPr>
          <w:rFonts w:ascii="Arial Narrow" w:hAnsi="Arial Narrow"/>
        </w:rPr>
        <w:t xml:space="preserve"> </w:t>
      </w:r>
      <w:r>
        <w:rPr>
          <w:rFonts w:ascii="Arial Narrow" w:hAnsi="Arial Narrow"/>
        </w:rPr>
        <w:t>e</w:t>
      </w:r>
      <w:r w:rsidRPr="006B620B">
        <w:rPr>
          <w:rFonts w:ascii="Arial Narrow" w:hAnsi="Arial Narrow"/>
        </w:rPr>
        <w:t>d</w:t>
      </w:r>
      <w:r>
        <w:rPr>
          <w:rFonts w:ascii="Arial Narrow" w:hAnsi="Arial Narrow"/>
        </w:rPr>
        <w:t>ition, 2003</w:t>
      </w:r>
      <w:r w:rsidRPr="006B620B">
        <w:rPr>
          <w:rFonts w:ascii="Arial Narrow" w:hAnsi="Arial Narrow"/>
        </w:rPr>
        <w:t xml:space="preserve">; L. </w:t>
      </w:r>
      <w:r w:rsidRPr="006B620B">
        <w:rPr>
          <w:rFonts w:ascii="Arial Narrow" w:hAnsi="Arial Narrow" w:cs="Arabic Typesetting"/>
          <w:smallCaps/>
          <w:noProof/>
        </w:rPr>
        <w:t>Heuschling</w:t>
      </w:r>
      <w:r w:rsidRPr="006B620B">
        <w:rPr>
          <w:rFonts w:ascii="Arial Narrow" w:hAnsi="Arial Narrow"/>
        </w:rPr>
        <w:t xml:space="preserve">, </w:t>
      </w:r>
      <w:r w:rsidRPr="006B620B">
        <w:rPr>
          <w:rFonts w:ascii="Arial Narrow" w:hAnsi="Arial Narrow"/>
          <w:i/>
        </w:rPr>
        <w:t>L’Etat de droit, Rechstaat, Rule of Law</w:t>
      </w:r>
      <w:r w:rsidRPr="006B620B">
        <w:rPr>
          <w:rFonts w:ascii="Arial Narrow" w:hAnsi="Arial Narrow"/>
        </w:rPr>
        <w:t xml:space="preserve">, Paris, Dalloz, 2002. </w:t>
      </w:r>
    </w:p>
  </w:footnote>
  <w:footnote w:id="5">
    <w:p w14:paraId="0F43D5D9" w14:textId="77777777" w:rsidR="007C736A" w:rsidRPr="003E224D" w:rsidRDefault="007C736A" w:rsidP="00895297">
      <w:pPr>
        <w:pStyle w:val="FootnoteText"/>
        <w:widowControl w:val="0"/>
        <w:tabs>
          <w:tab w:val="left" w:pos="284"/>
        </w:tabs>
        <w:jc w:val="both"/>
        <w:rPr>
          <w:rFonts w:ascii="Arial Narrow" w:hAnsi="Arial Narrow"/>
          <w:lang w:val="fr-FR"/>
        </w:rPr>
      </w:pPr>
      <w:r w:rsidRPr="006B620B">
        <w:rPr>
          <w:rStyle w:val="FootnoteReference"/>
          <w:rFonts w:ascii="Arial Narrow" w:hAnsi="Arial Narrow"/>
        </w:rPr>
        <w:footnoteRef/>
      </w:r>
      <w:r w:rsidRPr="003E224D">
        <w:rPr>
          <w:rFonts w:ascii="Arial Narrow" w:hAnsi="Arial Narrow"/>
          <w:lang w:val="fr-FR"/>
        </w:rPr>
        <w:t xml:space="preserve">. See </w:t>
      </w:r>
      <w:r w:rsidRPr="003E224D">
        <w:rPr>
          <w:rFonts w:ascii="Arial Narrow" w:hAnsi="Arial Narrow"/>
          <w:i/>
          <w:lang w:val="fr-FR"/>
        </w:rPr>
        <w:t>L’Etat de droit en droit international</w:t>
      </w:r>
      <w:r w:rsidRPr="003E224D">
        <w:rPr>
          <w:rFonts w:ascii="Arial Narrow" w:hAnsi="Arial Narrow"/>
          <w:lang w:val="fr-FR"/>
        </w:rPr>
        <w:t xml:space="preserve">, Paris, Pedone, 2009. </w:t>
      </w:r>
    </w:p>
  </w:footnote>
  <w:footnote w:id="6">
    <w:p w14:paraId="386FA36D" w14:textId="77777777" w:rsidR="007C736A" w:rsidRPr="003E224D" w:rsidRDefault="007C736A" w:rsidP="00895297">
      <w:pPr>
        <w:pStyle w:val="FootnoteText"/>
        <w:widowControl w:val="0"/>
        <w:tabs>
          <w:tab w:val="left" w:pos="284"/>
        </w:tabs>
        <w:jc w:val="both"/>
        <w:rPr>
          <w:rFonts w:ascii="Arial Narrow" w:hAnsi="Arial Narrow"/>
          <w:lang w:val="fr-FR"/>
        </w:rPr>
      </w:pPr>
      <w:r w:rsidRPr="006B620B">
        <w:rPr>
          <w:rStyle w:val="FootnoteReference"/>
          <w:rFonts w:ascii="Arial Narrow" w:hAnsi="Arial Narrow"/>
        </w:rPr>
        <w:footnoteRef/>
      </w:r>
      <w:r w:rsidRPr="003E224D">
        <w:rPr>
          <w:rFonts w:ascii="Arial Narrow" w:hAnsi="Arial Narrow"/>
          <w:lang w:val="fr-FR"/>
        </w:rPr>
        <w:t>.</w:t>
      </w:r>
      <w:r>
        <w:rPr>
          <w:rFonts w:ascii="Arial Narrow" w:hAnsi="Arial Narrow"/>
          <w:lang w:val="fr-FR"/>
        </w:rPr>
        <w:t xml:space="preserve"> </w:t>
      </w:r>
      <w:r w:rsidRPr="003E224D">
        <w:rPr>
          <w:rFonts w:ascii="Arial Narrow" w:hAnsi="Arial Narrow"/>
          <w:lang w:val="fr-FR"/>
        </w:rPr>
        <w:t xml:space="preserve">See D. </w:t>
      </w:r>
      <w:r w:rsidRPr="003E224D">
        <w:rPr>
          <w:rFonts w:ascii="Arial Narrow" w:hAnsi="Arial Narrow"/>
          <w:smallCaps/>
          <w:lang w:val="fr-FR"/>
        </w:rPr>
        <w:t>Kochenov</w:t>
      </w:r>
      <w:r w:rsidRPr="003E224D">
        <w:rPr>
          <w:rFonts w:ascii="Arial Narrow" w:hAnsi="Arial Narrow"/>
          <w:lang w:val="fr-FR"/>
        </w:rPr>
        <w:t xml:space="preserve"> and L. </w:t>
      </w:r>
      <w:r w:rsidRPr="003E224D">
        <w:rPr>
          <w:rFonts w:ascii="Arial Narrow" w:hAnsi="Arial Narrow"/>
          <w:smallCaps/>
          <w:lang w:val="fr-FR"/>
        </w:rPr>
        <w:t>Pech</w:t>
      </w:r>
      <w:r w:rsidRPr="003E224D">
        <w:rPr>
          <w:rFonts w:ascii="Arial Narrow" w:hAnsi="Arial Narrow"/>
          <w:lang w:val="fr-FR"/>
        </w:rPr>
        <w:t xml:space="preserve">, “Renforcer le respect de l’Etat de droit dans l’UE: Regards critiques sur les nouveaux mécanismes proposés par la Commission et le Conseil”, </w:t>
      </w:r>
      <w:r w:rsidRPr="003E224D">
        <w:rPr>
          <w:rFonts w:ascii="Arial Narrow" w:hAnsi="Arial Narrow"/>
          <w:i/>
          <w:lang w:val="fr-FR"/>
        </w:rPr>
        <w:t>Fondation Robert Schuman / Questions d’Europe</w:t>
      </w:r>
      <w:r>
        <w:rPr>
          <w:rFonts w:ascii="Arial Narrow" w:hAnsi="Arial Narrow"/>
          <w:lang w:val="fr-FR"/>
        </w:rPr>
        <w:t>, no. 356, 11 May </w:t>
      </w:r>
      <w:r w:rsidRPr="003E224D">
        <w:rPr>
          <w:rFonts w:ascii="Arial Narrow" w:hAnsi="Arial Narrow"/>
          <w:lang w:val="fr-FR"/>
        </w:rPr>
        <w:t>2015.</w:t>
      </w:r>
    </w:p>
  </w:footnote>
  <w:footnote w:id="7">
    <w:p w14:paraId="5DA61BC8" w14:textId="77777777" w:rsidR="00A31FBD" w:rsidRPr="009B4CC3" w:rsidRDefault="00A31FBD" w:rsidP="00A31FBD">
      <w:pPr>
        <w:pStyle w:val="FootnoteText"/>
        <w:widowControl w:val="0"/>
        <w:tabs>
          <w:tab w:val="left" w:pos="284"/>
        </w:tabs>
        <w:jc w:val="both"/>
        <w:rPr>
          <w:rFonts w:ascii="Arial Narrow" w:hAnsi="Arial Narrow"/>
          <w:lang w:val="fr-FR"/>
        </w:rPr>
      </w:pPr>
      <w:r w:rsidRPr="006B620B">
        <w:rPr>
          <w:rStyle w:val="FootnoteReference"/>
          <w:rFonts w:ascii="Arial Narrow" w:hAnsi="Arial Narrow"/>
        </w:rPr>
        <w:footnoteRef/>
      </w:r>
      <w:r w:rsidRPr="003E224D">
        <w:rPr>
          <w:rFonts w:ascii="Arial Narrow" w:hAnsi="Arial Narrow"/>
          <w:lang w:val="fr-FR"/>
        </w:rPr>
        <w:t>.</w:t>
      </w:r>
      <w:r>
        <w:rPr>
          <w:rFonts w:ascii="Arial Narrow" w:hAnsi="Arial Narrow"/>
          <w:lang w:val="fr-FR"/>
        </w:rPr>
        <w:t xml:space="preserve"> </w:t>
      </w:r>
      <w:r w:rsidRPr="009B4CC3">
        <w:rPr>
          <w:rFonts w:ascii="Arial Narrow" w:hAnsi="Arial Narrow"/>
          <w:lang w:val="fr-FR"/>
        </w:rPr>
        <w:t xml:space="preserve">J.-B. </w:t>
      </w:r>
      <w:r w:rsidRPr="009B4CC3">
        <w:rPr>
          <w:rFonts w:ascii="Arial Narrow" w:hAnsi="Arial Narrow"/>
          <w:smallCaps/>
          <w:lang w:val="fr-FR"/>
        </w:rPr>
        <w:t>Jacquin</w:t>
      </w:r>
      <w:r w:rsidRPr="009B4CC3">
        <w:rPr>
          <w:rFonts w:ascii="Arial Narrow" w:hAnsi="Arial Narrow"/>
          <w:lang w:val="fr-FR"/>
        </w:rPr>
        <w:t xml:space="preserve">, </w:t>
      </w:r>
      <w:r>
        <w:rPr>
          <w:rFonts w:ascii="Arial Narrow" w:hAnsi="Arial Narrow"/>
          <w:lang w:val="fr-FR"/>
        </w:rPr>
        <w:t>« </w:t>
      </w:r>
      <w:r w:rsidRPr="009B4CC3">
        <w:rPr>
          <w:rFonts w:ascii="Arial Narrow" w:hAnsi="Arial Narrow"/>
          <w:lang w:val="fr-FR"/>
        </w:rPr>
        <w:t>Entretien avec J.-</w:t>
      </w:r>
      <w:r>
        <w:rPr>
          <w:rFonts w:ascii="Arial Narrow" w:hAnsi="Arial Narrow"/>
          <w:lang w:val="fr-FR"/>
        </w:rPr>
        <w:t xml:space="preserve">M. Sauvé », </w:t>
      </w:r>
      <w:r w:rsidRPr="009B4CC3">
        <w:rPr>
          <w:rFonts w:ascii="Arial Narrow" w:hAnsi="Arial Narrow"/>
          <w:i/>
          <w:lang w:val="fr-FR"/>
        </w:rPr>
        <w:t>Le Monde,</w:t>
      </w:r>
      <w:r>
        <w:rPr>
          <w:rFonts w:ascii="Arial Narrow" w:hAnsi="Arial Narrow"/>
          <w:lang w:val="fr-FR"/>
        </w:rPr>
        <w:t xml:space="preserve"> 18 novembre 2016</w:t>
      </w:r>
      <w:r w:rsidRPr="009B4CC3">
        <w:rPr>
          <w:rFonts w:ascii="Arial Narrow" w:hAnsi="Arial Narrow"/>
          <w:lang w:val="fr-FR"/>
        </w:rPr>
        <w:t>.</w:t>
      </w:r>
    </w:p>
  </w:footnote>
  <w:footnote w:id="8">
    <w:p w14:paraId="5F5C4B38" w14:textId="77777777" w:rsidR="00865C72" w:rsidRPr="006B620B" w:rsidRDefault="00865C72" w:rsidP="00865C72">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noProof/>
        </w:rPr>
        <w:t>See, for instance</w:t>
      </w:r>
      <w:r w:rsidRPr="006B620B">
        <w:rPr>
          <w:rFonts w:ascii="Arial Narrow" w:hAnsi="Arial Narrow"/>
          <w:noProof/>
        </w:rPr>
        <w:t xml:space="preserve">, </w:t>
      </w:r>
      <w:r>
        <w:rPr>
          <w:rFonts w:ascii="Arial Narrow" w:hAnsi="Arial Narrow"/>
          <w:noProof/>
        </w:rPr>
        <w:t>in</w:t>
      </w:r>
      <w:r w:rsidRPr="006B620B">
        <w:rPr>
          <w:rFonts w:ascii="Arial Narrow" w:hAnsi="Arial Narrow"/>
          <w:noProof/>
        </w:rPr>
        <w:t xml:space="preserve"> France, </w:t>
      </w:r>
      <w:r>
        <w:rPr>
          <w:rFonts w:ascii="Arial Narrow" w:hAnsi="Arial Narrow"/>
          <w:noProof/>
        </w:rPr>
        <w:t>Law No.</w:t>
      </w:r>
      <w:r w:rsidRPr="006B620B">
        <w:rPr>
          <w:rFonts w:ascii="Arial Narrow" w:hAnsi="Arial Narrow"/>
          <w:noProof/>
        </w:rPr>
        <w:t xml:space="preserve"> 2016-731 </w:t>
      </w:r>
      <w:r>
        <w:rPr>
          <w:rFonts w:ascii="Arial Narrow" w:hAnsi="Arial Narrow"/>
          <w:noProof/>
        </w:rPr>
        <w:t>of 3 July</w:t>
      </w:r>
      <w:r w:rsidRPr="006B620B">
        <w:rPr>
          <w:rFonts w:ascii="Arial Narrow" w:hAnsi="Arial Narrow"/>
          <w:noProof/>
        </w:rPr>
        <w:t xml:space="preserve"> 2016</w:t>
      </w:r>
      <w:r>
        <w:rPr>
          <w:rFonts w:ascii="Arial Narrow" w:hAnsi="Arial Narrow"/>
          <w:noProof/>
        </w:rPr>
        <w:t xml:space="preserve"> on organised crime and terrorism</w:t>
      </w:r>
      <w:r w:rsidRPr="006B620B">
        <w:rPr>
          <w:rFonts w:ascii="Arial Narrow" w:hAnsi="Arial Narrow"/>
          <w:noProof/>
        </w:rPr>
        <w:t xml:space="preserve"> </w:t>
      </w:r>
      <w:r>
        <w:rPr>
          <w:rFonts w:ascii="Arial Narrow" w:hAnsi="Arial Narrow"/>
          <w:noProof/>
        </w:rPr>
        <w:t>as well as Law</w:t>
      </w:r>
      <w:r w:rsidRPr="006B620B">
        <w:rPr>
          <w:rFonts w:ascii="Arial Narrow" w:hAnsi="Arial Narrow"/>
          <w:noProof/>
        </w:rPr>
        <w:t xml:space="preserve"> n</w:t>
      </w:r>
      <w:r>
        <w:rPr>
          <w:rFonts w:ascii="Arial Narrow" w:hAnsi="Arial Narrow"/>
          <w:noProof/>
        </w:rPr>
        <w:t>o.</w:t>
      </w:r>
      <w:r w:rsidRPr="006B620B">
        <w:rPr>
          <w:rFonts w:ascii="Arial Narrow" w:hAnsi="Arial Narrow"/>
          <w:noProof/>
        </w:rPr>
        <w:t xml:space="preserve"> 2016-987 </w:t>
      </w:r>
      <w:r>
        <w:rPr>
          <w:rFonts w:ascii="Arial Narrow" w:hAnsi="Arial Narrow"/>
          <w:noProof/>
        </w:rPr>
        <w:t>of</w:t>
      </w:r>
      <w:r w:rsidRPr="006B620B">
        <w:rPr>
          <w:rFonts w:ascii="Arial Narrow" w:hAnsi="Arial Narrow"/>
          <w:noProof/>
        </w:rPr>
        <w:t xml:space="preserve"> 21 </w:t>
      </w:r>
      <w:r>
        <w:rPr>
          <w:rFonts w:ascii="Arial Narrow" w:hAnsi="Arial Narrow"/>
          <w:noProof/>
        </w:rPr>
        <w:t xml:space="preserve">July </w:t>
      </w:r>
      <w:r w:rsidRPr="006B620B">
        <w:rPr>
          <w:rFonts w:ascii="Arial Narrow" w:hAnsi="Arial Narrow"/>
          <w:noProof/>
        </w:rPr>
        <w:t xml:space="preserve">2016 </w:t>
      </w:r>
      <w:r>
        <w:rPr>
          <w:rFonts w:ascii="Arial Narrow" w:hAnsi="Arial Narrow"/>
          <w:noProof/>
        </w:rPr>
        <w:t>extending the state of emergency and strengthening counter-terrorism</w:t>
      </w:r>
      <w:r w:rsidRPr="006B620B">
        <w:rPr>
          <w:rFonts w:ascii="Arial Narrow" w:hAnsi="Arial Narrow"/>
          <w:noProof/>
        </w:rPr>
        <w:t xml:space="preserve">. </w:t>
      </w:r>
    </w:p>
  </w:footnote>
  <w:footnote w:id="9">
    <w:p w14:paraId="69D069C1" w14:textId="77777777" w:rsidR="00E410C3" w:rsidRPr="00052EC5" w:rsidRDefault="00E410C3" w:rsidP="00E410C3">
      <w:pPr>
        <w:pStyle w:val="FootnoteText"/>
        <w:widowControl w:val="0"/>
        <w:jc w:val="both"/>
        <w:rPr>
          <w:rFonts w:ascii="Arial Narrow" w:hAnsi="Arial Narrow"/>
          <w:noProof/>
          <w:lang w:val="fr-FR"/>
        </w:rPr>
      </w:pPr>
      <w:r w:rsidRPr="006B620B">
        <w:rPr>
          <w:rStyle w:val="FootnoteReference"/>
          <w:rFonts w:ascii="Arial Narrow" w:hAnsi="Arial Narrow"/>
          <w:noProof/>
        </w:rPr>
        <w:footnoteRef/>
      </w:r>
      <w:r w:rsidRPr="00251773">
        <w:rPr>
          <w:rFonts w:ascii="Arial Narrow" w:hAnsi="Arial Narrow"/>
          <w:noProof/>
          <w:lang w:val="fr-FR"/>
        </w:rPr>
        <w:t xml:space="preserve">. </w:t>
      </w:r>
      <w:r w:rsidRPr="00052EC5">
        <w:rPr>
          <w:rFonts w:ascii="Arial Narrow" w:hAnsi="Arial Narrow"/>
          <w:i/>
          <w:noProof/>
          <w:lang w:val="fr-FR"/>
        </w:rPr>
        <w:t>Avis sur la constitutionnalité et la compatibilité avec les engagements internationaux de la France de certaines mesures de prévention du risque de terrorisme</w:t>
      </w:r>
      <w:r>
        <w:rPr>
          <w:rFonts w:ascii="Arial Narrow" w:hAnsi="Arial Narrow"/>
          <w:noProof/>
          <w:lang w:val="fr-FR"/>
        </w:rPr>
        <w:t>, adopted by the General Assembly of the Conseil d’Etat on 17 December 2015.</w:t>
      </w:r>
    </w:p>
  </w:footnote>
  <w:footnote w:id="10">
    <w:p w14:paraId="7B760E3D" w14:textId="77777777" w:rsidR="00E410C3" w:rsidRPr="00251773" w:rsidRDefault="00E410C3" w:rsidP="00E410C3">
      <w:pPr>
        <w:pStyle w:val="FootnoteText"/>
        <w:widowControl w:val="0"/>
        <w:jc w:val="both"/>
        <w:rPr>
          <w:rFonts w:ascii="Arial Narrow" w:hAnsi="Arial Narrow"/>
          <w:noProof/>
          <w:lang w:val="fr-FR"/>
        </w:rPr>
      </w:pPr>
      <w:r w:rsidRPr="006B620B">
        <w:rPr>
          <w:rStyle w:val="FootnoteReference"/>
          <w:rFonts w:ascii="Arial Narrow" w:hAnsi="Arial Narrow"/>
          <w:noProof/>
        </w:rPr>
        <w:footnoteRef/>
      </w:r>
      <w:r w:rsidRPr="00052EC5">
        <w:rPr>
          <w:rFonts w:ascii="Arial Narrow" w:hAnsi="Arial Narrow"/>
          <w:noProof/>
          <w:lang w:val="fr-FR"/>
        </w:rPr>
        <w:t xml:space="preserve">. </w:t>
      </w:r>
      <w:r w:rsidRPr="00251773">
        <w:rPr>
          <w:rFonts w:ascii="Arial Narrow" w:hAnsi="Arial Narrow"/>
          <w:noProof/>
          <w:lang w:val="fr-FR"/>
        </w:rPr>
        <w:t xml:space="preserve">G. </w:t>
      </w:r>
      <w:r w:rsidRPr="00251773">
        <w:rPr>
          <w:rFonts w:ascii="Arial Narrow" w:hAnsi="Arial Narrow"/>
          <w:smallCaps/>
          <w:lang w:val="fr-FR"/>
        </w:rPr>
        <w:t>Agamben</w:t>
      </w:r>
      <w:r w:rsidRPr="00251773">
        <w:rPr>
          <w:rFonts w:ascii="Arial Narrow" w:hAnsi="Arial Narrow"/>
          <w:lang w:val="fr-FR"/>
        </w:rPr>
        <w:t xml:space="preserve">, “De l’Etat de droit à l’Etat de sécurité” (“From the State of Law to the Security State”), </w:t>
      </w:r>
      <w:r w:rsidRPr="00251773">
        <w:rPr>
          <w:rFonts w:ascii="Arial Narrow" w:hAnsi="Arial Narrow"/>
          <w:i/>
          <w:lang w:val="fr-FR"/>
        </w:rPr>
        <w:t>Le Monde</w:t>
      </w:r>
      <w:r w:rsidRPr="00251773">
        <w:rPr>
          <w:rFonts w:ascii="Arial Narrow" w:hAnsi="Arial Narrow"/>
          <w:lang w:val="fr-FR"/>
        </w:rPr>
        <w:t>, 23 December 2015.</w:t>
      </w:r>
    </w:p>
  </w:footnote>
  <w:footnote w:id="11">
    <w:p w14:paraId="7B0D4766" w14:textId="77777777" w:rsidR="00E410C3" w:rsidRPr="00F3284B" w:rsidRDefault="00E410C3" w:rsidP="00E410C3">
      <w:pPr>
        <w:pStyle w:val="FootnoteText"/>
        <w:widowControl w:val="0"/>
        <w:jc w:val="both"/>
        <w:rPr>
          <w:rFonts w:ascii="Arial Narrow" w:hAnsi="Arial Narrow"/>
          <w:noProof/>
          <w:lang w:val="fr-FR"/>
        </w:rPr>
      </w:pPr>
      <w:r w:rsidRPr="006B620B">
        <w:rPr>
          <w:rStyle w:val="FootnoteReference"/>
          <w:rFonts w:ascii="Arial Narrow" w:hAnsi="Arial Narrow"/>
          <w:noProof/>
        </w:rPr>
        <w:footnoteRef/>
      </w:r>
      <w:r w:rsidRPr="00F3284B">
        <w:rPr>
          <w:rFonts w:ascii="Arial Narrow" w:hAnsi="Arial Narrow"/>
          <w:noProof/>
          <w:lang w:val="fr-FR"/>
        </w:rPr>
        <w:t xml:space="preserve">. </w:t>
      </w:r>
      <w:r w:rsidRPr="00F3284B">
        <w:rPr>
          <w:rFonts w:ascii="Arial Narrow" w:hAnsi="Arial Narrow"/>
          <w:i/>
          <w:noProof/>
          <w:lang w:val="fr-FR"/>
        </w:rPr>
        <w:t>Avis sur un projet de loi prorogeant l’application de la loi n° 55-385 du 3 avril 1955 relative à l’état d’urgence</w:t>
      </w:r>
      <w:r>
        <w:rPr>
          <w:rFonts w:ascii="Arial Narrow" w:hAnsi="Arial Narrow"/>
          <w:noProof/>
          <w:lang w:val="fr-FR"/>
        </w:rPr>
        <w:t>, adopted by the General Assembly of the Conseil d’Etat on 2 February 2016.</w:t>
      </w:r>
    </w:p>
  </w:footnote>
  <w:footnote w:id="12">
    <w:p w14:paraId="4778FD07" w14:textId="152C6596" w:rsidR="00E410C3" w:rsidRPr="00906814" w:rsidRDefault="00E410C3" w:rsidP="00E410C3">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noProof/>
        </w:rPr>
        <w:t xml:space="preserve">ECtHR, </w:t>
      </w:r>
      <w:r w:rsidRPr="00DA18FE">
        <w:rPr>
          <w:rFonts w:ascii="Arial Narrow" w:hAnsi="Arial Narrow"/>
          <w:i/>
          <w:noProof/>
        </w:rPr>
        <w:t>Mercan v. Turkey</w:t>
      </w:r>
      <w:r>
        <w:rPr>
          <w:rFonts w:ascii="Arial Narrow" w:hAnsi="Arial Narrow"/>
          <w:noProof/>
        </w:rPr>
        <w:t xml:space="preserve"> decision of 8 November 2016. </w:t>
      </w:r>
      <w:r w:rsidR="006F19C8" w:rsidRPr="006F19C8">
        <w:rPr>
          <w:rFonts w:ascii="Arial Narrow" w:hAnsi="Arial Narrow"/>
        </w:rPr>
        <w:t>Since the applicant’s placement in pre-trial detention on 17 July was not a measure that had been adopted by legislative decree in the context of the state of emergency which was proclaimed on 21 July 2016, the Court considered that her argument that it was impossible for her to appeal against her placement in detention was unfounded.</w:t>
      </w:r>
    </w:p>
  </w:footnote>
  <w:footnote w:id="13">
    <w:p w14:paraId="078FE1D1" w14:textId="77777777" w:rsidR="00E410C3" w:rsidRPr="008C0128" w:rsidRDefault="00E410C3" w:rsidP="00E410C3">
      <w:pPr>
        <w:pStyle w:val="FootnoteText"/>
        <w:jc w:val="both"/>
        <w:rPr>
          <w:rFonts w:ascii="Arial Narrow" w:hAnsi="Arial Narrow"/>
          <w:noProof/>
        </w:rPr>
      </w:pPr>
      <w:r w:rsidRPr="001F1F3A">
        <w:rPr>
          <w:rStyle w:val="FootnoteReference"/>
          <w:rFonts w:ascii="Arial Narrow" w:hAnsi="Arial Narrow"/>
          <w:noProof/>
          <w:lang w:val="fr-FR"/>
        </w:rPr>
        <w:footnoteRef/>
      </w:r>
      <w:r w:rsidRPr="008C0128">
        <w:rPr>
          <w:rFonts w:ascii="Arial Narrow" w:hAnsi="Arial Narrow"/>
          <w:noProof/>
        </w:rPr>
        <w:t xml:space="preserve"> S. </w:t>
      </w:r>
      <w:r w:rsidRPr="008C0128">
        <w:rPr>
          <w:rFonts w:ascii="Arial Narrow" w:hAnsi="Arial Narrow"/>
          <w:smallCaps/>
          <w:noProof/>
        </w:rPr>
        <w:t>Sottiaux</w:t>
      </w:r>
      <w:r w:rsidRPr="008C0128">
        <w:rPr>
          <w:rFonts w:ascii="Arial Narrow" w:hAnsi="Arial Narrow"/>
          <w:noProof/>
        </w:rPr>
        <w:t xml:space="preserve">, </w:t>
      </w:r>
      <w:r w:rsidRPr="008C0128">
        <w:rPr>
          <w:rFonts w:ascii="Arial Narrow" w:hAnsi="Arial Narrow"/>
          <w:i/>
          <w:noProof/>
        </w:rPr>
        <w:t>Terrorism and the Limitations of Rights. The European Convention on Human Rights and the United States Constitution</w:t>
      </w:r>
      <w:r w:rsidRPr="008C0128">
        <w:rPr>
          <w:rFonts w:ascii="Arial Narrow" w:hAnsi="Arial Narrow"/>
          <w:noProof/>
        </w:rPr>
        <w:t>, Hart Publis</w:t>
      </w:r>
      <w:r>
        <w:rPr>
          <w:rFonts w:ascii="Arial Narrow" w:hAnsi="Arial Narrow"/>
          <w:noProof/>
        </w:rPr>
        <w:t>hing, Oxford / Portland, 2008</w:t>
      </w:r>
      <w:r w:rsidRPr="008C0128">
        <w:rPr>
          <w:rFonts w:ascii="Arial Narrow" w:hAnsi="Arial Narrow"/>
          <w:noProof/>
        </w:rPr>
        <w:t>.</w:t>
      </w:r>
    </w:p>
  </w:footnote>
  <w:footnote w:id="14">
    <w:p w14:paraId="21A2AC8C" w14:textId="77777777" w:rsidR="006F19C8" w:rsidRPr="006F19C8" w:rsidRDefault="006F19C8" w:rsidP="006F19C8">
      <w:pPr>
        <w:pStyle w:val="FootnoteText"/>
        <w:jc w:val="both"/>
        <w:rPr>
          <w:rFonts w:ascii="Arial Narrow" w:hAnsi="Arial Narrow"/>
          <w:noProof/>
        </w:rPr>
      </w:pPr>
      <w:r w:rsidRPr="006F19C8">
        <w:rPr>
          <w:rStyle w:val="FootnoteReference"/>
          <w:rFonts w:ascii="Arial Narrow" w:hAnsi="Arial Narrow"/>
          <w:noProof/>
          <w:lang w:val="fr-FR"/>
        </w:rPr>
        <w:footnoteRef/>
      </w:r>
      <w:r w:rsidRPr="006F19C8">
        <w:rPr>
          <w:rFonts w:ascii="Arial Narrow" w:hAnsi="Arial Narrow"/>
          <w:noProof/>
        </w:rPr>
        <w:t xml:space="preserve"> </w:t>
      </w:r>
      <w:r w:rsidRPr="006F19C8">
        <w:rPr>
          <w:rFonts w:ascii="Arial Narrow" w:hAnsi="Arial Narrow"/>
          <w:i/>
          <w:noProof/>
        </w:rPr>
        <w:t>Ibid.</w:t>
      </w:r>
      <w:r w:rsidRPr="006F19C8">
        <w:rPr>
          <w:rFonts w:ascii="Arial Narrow" w:hAnsi="Arial Narrow"/>
          <w:noProof/>
        </w:rPr>
        <w:t>, p. 2.</w:t>
      </w:r>
    </w:p>
  </w:footnote>
  <w:footnote w:id="15">
    <w:p w14:paraId="7C7B578C" w14:textId="77777777" w:rsidR="006F19C8" w:rsidRPr="006F19C8" w:rsidRDefault="006F19C8" w:rsidP="006F19C8">
      <w:pPr>
        <w:pStyle w:val="FootnoteText"/>
        <w:jc w:val="both"/>
        <w:rPr>
          <w:rFonts w:ascii="Arial Narrow" w:hAnsi="Arial Narrow"/>
          <w:noProof/>
        </w:rPr>
      </w:pPr>
      <w:r w:rsidRPr="006F19C8">
        <w:rPr>
          <w:rStyle w:val="FootnoteReference"/>
          <w:rFonts w:ascii="Arial Narrow" w:hAnsi="Arial Narrow"/>
          <w:noProof/>
          <w:lang w:val="fr-FR"/>
        </w:rPr>
        <w:footnoteRef/>
      </w:r>
      <w:r w:rsidRPr="006F19C8">
        <w:rPr>
          <w:rFonts w:ascii="Arial Narrow" w:hAnsi="Arial Narrow"/>
          <w:noProof/>
        </w:rPr>
        <w:t xml:space="preserve"> </w:t>
      </w:r>
      <w:r w:rsidRPr="006F19C8">
        <w:rPr>
          <w:rFonts w:ascii="Arial Narrow" w:hAnsi="Arial Narrow"/>
          <w:i/>
          <w:noProof/>
        </w:rPr>
        <w:t>Ibid.</w:t>
      </w:r>
      <w:r w:rsidRPr="006F19C8">
        <w:rPr>
          <w:rFonts w:ascii="Arial Narrow" w:hAnsi="Arial Narrow"/>
          <w:noProof/>
        </w:rPr>
        <w:t>, p. 6.</w:t>
      </w:r>
    </w:p>
  </w:footnote>
  <w:footnote w:id="16">
    <w:p w14:paraId="70654E81" w14:textId="77777777" w:rsidR="006F19C8" w:rsidRPr="006F19C8" w:rsidRDefault="006F19C8" w:rsidP="006F19C8">
      <w:pPr>
        <w:pStyle w:val="FootnoteText"/>
        <w:jc w:val="both"/>
        <w:rPr>
          <w:rFonts w:ascii="Arial Narrow" w:hAnsi="Arial Narrow"/>
          <w:noProof/>
        </w:rPr>
      </w:pPr>
      <w:r w:rsidRPr="006F19C8">
        <w:rPr>
          <w:rStyle w:val="FootnoteReference"/>
          <w:rFonts w:ascii="Arial Narrow" w:hAnsi="Arial Narrow"/>
          <w:noProof/>
          <w:lang w:val="fr-FR"/>
        </w:rPr>
        <w:footnoteRef/>
      </w:r>
      <w:r w:rsidRPr="006F19C8">
        <w:rPr>
          <w:rFonts w:ascii="Arial Narrow" w:hAnsi="Arial Narrow"/>
          <w:noProof/>
        </w:rPr>
        <w:t xml:space="preserve"> </w:t>
      </w:r>
      <w:r w:rsidRPr="006F19C8">
        <w:rPr>
          <w:rFonts w:ascii="Arial Narrow" w:hAnsi="Arial Narrow"/>
          <w:i/>
          <w:noProof/>
        </w:rPr>
        <w:t>Ibid.</w:t>
      </w:r>
      <w:r w:rsidRPr="006F19C8">
        <w:rPr>
          <w:rFonts w:ascii="Arial Narrow" w:hAnsi="Arial Narrow"/>
          <w:noProof/>
        </w:rPr>
        <w:t>, pp. 4-5.</w:t>
      </w:r>
    </w:p>
  </w:footnote>
  <w:footnote w:id="17">
    <w:p w14:paraId="4F2B5282" w14:textId="77777777" w:rsidR="007C736A" w:rsidRPr="003E224D" w:rsidRDefault="007C736A" w:rsidP="00895297">
      <w:pPr>
        <w:pStyle w:val="FootnoteText"/>
        <w:widowControl w:val="0"/>
        <w:jc w:val="both"/>
        <w:rPr>
          <w:rFonts w:ascii="Arial Narrow" w:hAnsi="Arial Narrow" w:cs="Arabic Typesetting"/>
          <w:noProof/>
          <w:lang w:val="fr-FR"/>
        </w:rPr>
      </w:pPr>
      <w:r w:rsidRPr="006B620B">
        <w:rPr>
          <w:rStyle w:val="FootnoteReference"/>
          <w:rFonts w:ascii="Arial Narrow" w:hAnsi="Arial Narrow" w:cs="Arabic Typesetting"/>
          <w:noProof/>
        </w:rPr>
        <w:footnoteRef/>
      </w:r>
      <w:r w:rsidRPr="003E224D">
        <w:rPr>
          <w:rFonts w:ascii="Arial Narrow" w:hAnsi="Arial Narrow" w:cs="Arabic Typesetting"/>
          <w:noProof/>
          <w:lang w:val="fr-FR"/>
        </w:rPr>
        <w:t xml:space="preserve">. Fr. </w:t>
      </w:r>
      <w:r w:rsidRPr="003E224D">
        <w:rPr>
          <w:rFonts w:ascii="Arial Narrow" w:hAnsi="Arial Narrow" w:cs="Arabic Typesetting"/>
          <w:smallCaps/>
          <w:noProof/>
          <w:lang w:val="fr-FR"/>
        </w:rPr>
        <w:t>Bernard</w:t>
      </w:r>
      <w:r w:rsidRPr="003E224D">
        <w:rPr>
          <w:rFonts w:ascii="Arial Narrow" w:hAnsi="Arial Narrow" w:cs="Arabic Typesetting"/>
          <w:noProof/>
          <w:lang w:val="fr-FR"/>
        </w:rPr>
        <w:t xml:space="preserve">, “La Cour européenne des droits de l’homme et la lutte contre le terrorisme”, </w:t>
      </w:r>
      <w:r>
        <w:rPr>
          <w:rFonts w:ascii="Arial Narrow" w:hAnsi="Arial Narrow" w:cs="Arabic Typesetting"/>
          <w:i/>
          <w:noProof/>
          <w:lang w:val="fr-FR"/>
        </w:rPr>
        <w:t>Rev. trim. dr. h.</w:t>
      </w:r>
      <w:r w:rsidRPr="001F1F3A">
        <w:rPr>
          <w:rFonts w:ascii="Arial Narrow" w:hAnsi="Arial Narrow" w:cs="Arabic Typesetting"/>
          <w:noProof/>
          <w:lang w:val="fr-FR"/>
        </w:rPr>
        <w:t xml:space="preserve">, 2016, </w:t>
      </w:r>
      <w:r w:rsidRPr="003E224D">
        <w:rPr>
          <w:rFonts w:ascii="Arial Narrow" w:hAnsi="Arial Narrow" w:cs="Arabic Typesetting"/>
          <w:noProof/>
          <w:lang w:val="fr-FR"/>
        </w:rPr>
        <w:t>p. 45.</w:t>
      </w:r>
    </w:p>
  </w:footnote>
  <w:footnote w:id="18">
    <w:p w14:paraId="4C091CD1"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cs="Arabic Typesetting"/>
          <w:noProof/>
        </w:rPr>
        <w:t xml:space="preserve">, </w:t>
      </w:r>
      <w:r w:rsidRPr="006B620B">
        <w:rPr>
          <w:rFonts w:ascii="Arial Narrow" w:hAnsi="Arial Narrow" w:cs="Arabic Typesetting"/>
          <w:i/>
          <w:noProof/>
        </w:rPr>
        <w:t xml:space="preserve">Osman </w:t>
      </w:r>
      <w:r>
        <w:rPr>
          <w:rFonts w:ascii="Arial Narrow" w:hAnsi="Arial Narrow" w:cs="Arabic Typesetting"/>
          <w:i/>
          <w:noProof/>
        </w:rPr>
        <w:t>v. the United Kingdom</w:t>
      </w:r>
      <w:r w:rsidRPr="006B620B">
        <w:rPr>
          <w:rFonts w:ascii="Arial Narrow" w:hAnsi="Arial Narrow" w:cs="Arabic Typesetting"/>
          <w:noProof/>
        </w:rPr>
        <w:t xml:space="preserve"> </w:t>
      </w:r>
      <w:r>
        <w:rPr>
          <w:rFonts w:ascii="Arial Narrow" w:hAnsi="Arial Narrow" w:cs="Arabic Typesetting"/>
          <w:noProof/>
        </w:rPr>
        <w:t xml:space="preserve">judgment of </w:t>
      </w:r>
      <w:r w:rsidRPr="006B620B">
        <w:rPr>
          <w:rFonts w:ascii="Arial Narrow" w:hAnsi="Arial Narrow" w:cs="Arabic Typesetting"/>
          <w:noProof/>
        </w:rPr>
        <w:t xml:space="preserve">28 </w:t>
      </w:r>
      <w:r>
        <w:rPr>
          <w:rFonts w:ascii="Arial Narrow" w:hAnsi="Arial Narrow" w:cs="Arabic Typesetting"/>
          <w:noProof/>
        </w:rPr>
        <w:t xml:space="preserve">October </w:t>
      </w:r>
      <w:r w:rsidRPr="006B620B">
        <w:rPr>
          <w:rFonts w:ascii="Arial Narrow" w:hAnsi="Arial Narrow" w:cs="Arabic Typesetting"/>
          <w:noProof/>
        </w:rPr>
        <w:t>1998, § 115.</w:t>
      </w:r>
    </w:p>
  </w:footnote>
  <w:footnote w:id="19">
    <w:p w14:paraId="14A364BB"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cs="Arabic Typesetting"/>
          <w:noProof/>
        </w:rPr>
        <w:t xml:space="preserve">, </w:t>
      </w:r>
      <w:r w:rsidRPr="006B620B">
        <w:rPr>
          <w:rFonts w:ascii="Arial Narrow" w:hAnsi="Arial Narrow" w:cs="Arabic Typesetting"/>
          <w:i/>
          <w:noProof/>
        </w:rPr>
        <w:t xml:space="preserve">McCann </w:t>
      </w:r>
      <w:r>
        <w:rPr>
          <w:rFonts w:ascii="Arial Narrow" w:hAnsi="Arial Narrow" w:cs="Arabic Typesetting"/>
          <w:i/>
          <w:noProof/>
        </w:rPr>
        <w:t>and Others v. the United Kingdom</w:t>
      </w:r>
      <w:r w:rsidRPr="006B620B">
        <w:rPr>
          <w:rFonts w:ascii="Arial Narrow" w:hAnsi="Arial Narrow" w:cs="Arabic Typesetting"/>
          <w:i/>
          <w:noProof/>
        </w:rPr>
        <w:t xml:space="preserve"> </w:t>
      </w:r>
      <w:r w:rsidRPr="006B620B">
        <w:rPr>
          <w:rFonts w:ascii="Arial Narrow" w:hAnsi="Arial Narrow" w:cs="Arabic Typesetting"/>
          <w:noProof/>
        </w:rPr>
        <w:t>du 27 septembre 1995, § 213.</w:t>
      </w:r>
    </w:p>
  </w:footnote>
  <w:footnote w:id="20">
    <w:p w14:paraId="5B5C1580"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cs="Arabic Typesetting"/>
          <w:noProof/>
        </w:rPr>
        <w:t xml:space="preserve">, </w:t>
      </w:r>
      <w:r w:rsidRPr="006B620B">
        <w:rPr>
          <w:rFonts w:ascii="Arial Narrow" w:hAnsi="Arial Narrow"/>
          <w:i/>
          <w:noProof/>
        </w:rPr>
        <w:t xml:space="preserve">Finogenov </w:t>
      </w:r>
      <w:r>
        <w:rPr>
          <w:rFonts w:ascii="Arial Narrow" w:hAnsi="Arial Narrow"/>
          <w:i/>
          <w:noProof/>
        </w:rPr>
        <w:t>and Others v. Russia</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20 </w:t>
      </w:r>
      <w:r>
        <w:rPr>
          <w:rFonts w:ascii="Arial Narrow" w:hAnsi="Arial Narrow"/>
          <w:noProof/>
        </w:rPr>
        <w:t>December</w:t>
      </w:r>
      <w:r w:rsidRPr="006B620B">
        <w:rPr>
          <w:rFonts w:ascii="Arial Narrow" w:hAnsi="Arial Narrow"/>
          <w:noProof/>
        </w:rPr>
        <w:t xml:space="preserve"> 2011.</w:t>
      </w:r>
    </w:p>
  </w:footnote>
  <w:footnote w:id="21">
    <w:p w14:paraId="76B1B8D9"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sidRPr="006B620B">
        <w:rPr>
          <w:rFonts w:ascii="Arial Narrow" w:hAnsi="Arial Narrow"/>
          <w:i/>
          <w:noProof/>
        </w:rPr>
        <w:t>Ibid</w:t>
      </w:r>
      <w:r w:rsidRPr="006B620B">
        <w:rPr>
          <w:rFonts w:ascii="Arial Narrow" w:hAnsi="Arial Narrow"/>
          <w:noProof/>
        </w:rPr>
        <w:t>.</w:t>
      </w:r>
    </w:p>
  </w:footnote>
  <w:footnote w:id="22">
    <w:p w14:paraId="1B0D4582"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cs="Arabic Typesetting"/>
          <w:noProof/>
        </w:rPr>
        <w:t xml:space="preserve"> (GC), </w:t>
      </w:r>
      <w:r w:rsidRPr="006B620B">
        <w:rPr>
          <w:rFonts w:ascii="Arial Narrow" w:hAnsi="Arial Narrow"/>
          <w:i/>
          <w:noProof/>
        </w:rPr>
        <w:t xml:space="preserve">Armani da Silva </w:t>
      </w:r>
      <w:r>
        <w:rPr>
          <w:rFonts w:ascii="Arial Narrow" w:hAnsi="Arial Narrow"/>
          <w:i/>
          <w:noProof/>
        </w:rPr>
        <w:t>v</w:t>
      </w:r>
      <w:r w:rsidRPr="006B620B">
        <w:rPr>
          <w:rFonts w:ascii="Arial Narrow" w:hAnsi="Arial Narrow"/>
          <w:i/>
          <w:noProof/>
        </w:rPr>
        <w:t xml:space="preserve">. </w:t>
      </w:r>
      <w:r>
        <w:rPr>
          <w:rFonts w:ascii="Arial Narrow" w:hAnsi="Arial Narrow"/>
          <w:i/>
          <w:noProof/>
        </w:rPr>
        <w:t>the United Kingdom</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30 </w:t>
      </w:r>
      <w:r>
        <w:rPr>
          <w:rFonts w:ascii="Arial Narrow" w:hAnsi="Arial Narrow"/>
          <w:noProof/>
        </w:rPr>
        <w:t xml:space="preserve">March </w:t>
      </w:r>
      <w:r w:rsidRPr="006B620B">
        <w:rPr>
          <w:rFonts w:ascii="Arial Narrow" w:hAnsi="Arial Narrow"/>
          <w:noProof/>
        </w:rPr>
        <w:t>2016.</w:t>
      </w:r>
    </w:p>
  </w:footnote>
  <w:footnote w:id="23">
    <w:p w14:paraId="6EFA5A23" w14:textId="702E8D4B" w:rsidR="007C736A" w:rsidRPr="00E91C31" w:rsidRDefault="007C736A" w:rsidP="00E91C31">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noProof/>
        </w:rPr>
        <w:t xml:space="preserve">Application no. 46240/15, </w:t>
      </w:r>
      <w:r w:rsidRPr="00443910">
        <w:rPr>
          <w:rFonts w:ascii="Arial Narrow" w:hAnsi="Arial Narrow"/>
          <w:i/>
          <w:noProof/>
        </w:rPr>
        <w:t>A.S. v. France</w:t>
      </w:r>
      <w:r>
        <w:rPr>
          <w:rFonts w:ascii="Arial Narrow" w:hAnsi="Arial Narrow"/>
          <w:noProof/>
        </w:rPr>
        <w:t>.</w:t>
      </w:r>
    </w:p>
  </w:footnote>
  <w:footnote w:id="24">
    <w:p w14:paraId="1CB7DFE3" w14:textId="0740C1AE" w:rsidR="006F19C8" w:rsidRPr="00BF37DB" w:rsidRDefault="006F19C8" w:rsidP="006F19C8">
      <w:pPr>
        <w:pStyle w:val="FootnoteText"/>
        <w:jc w:val="both"/>
        <w:rPr>
          <w:rFonts w:ascii="Arial Narrow" w:hAnsi="Arial Narrow"/>
          <w:noProof/>
        </w:rPr>
      </w:pPr>
      <w:r w:rsidRPr="006F19C8">
        <w:rPr>
          <w:rStyle w:val="FootnoteReference"/>
          <w:rFonts w:ascii="Arial Narrow" w:hAnsi="Arial Narrow"/>
          <w:noProof/>
          <w:lang w:val="fr-FR"/>
        </w:rPr>
        <w:footnoteRef/>
      </w:r>
      <w:r w:rsidRPr="006F19C8">
        <w:rPr>
          <w:rFonts w:ascii="Arial Narrow" w:hAnsi="Arial Narrow"/>
          <w:noProof/>
        </w:rPr>
        <w:t xml:space="preserve"> S. </w:t>
      </w:r>
      <w:r w:rsidRPr="006F19C8">
        <w:rPr>
          <w:rFonts w:ascii="Arial Narrow" w:hAnsi="Arial Narrow"/>
          <w:smallCaps/>
          <w:noProof/>
        </w:rPr>
        <w:t>Sottiaux</w:t>
      </w:r>
      <w:r w:rsidRPr="006F19C8">
        <w:rPr>
          <w:rFonts w:ascii="Arial Narrow" w:hAnsi="Arial Narrow"/>
          <w:noProof/>
        </w:rPr>
        <w:t xml:space="preserve">, </w:t>
      </w:r>
      <w:r w:rsidRPr="006F19C8">
        <w:rPr>
          <w:rFonts w:ascii="Arial Narrow" w:hAnsi="Arial Narrow"/>
          <w:i/>
          <w:noProof/>
        </w:rPr>
        <w:t>Terrorism and the Limitations of Rights. The European Convention on Human Rights and the United States</w:t>
      </w:r>
      <w:r w:rsidRPr="008C0128">
        <w:rPr>
          <w:rFonts w:ascii="Arial Narrow" w:hAnsi="Arial Narrow"/>
          <w:i/>
          <w:noProof/>
        </w:rPr>
        <w:t xml:space="preserve"> Constitution</w:t>
      </w:r>
      <w:r w:rsidRPr="008C0128">
        <w:rPr>
          <w:rFonts w:ascii="Arial Narrow" w:hAnsi="Arial Narrow"/>
          <w:noProof/>
        </w:rPr>
        <w:t xml:space="preserve">, </w:t>
      </w:r>
      <w:r w:rsidRPr="00B86A17">
        <w:rPr>
          <w:rFonts w:ascii="Arial Narrow" w:hAnsi="Arial Narrow"/>
          <w:i/>
          <w:noProof/>
        </w:rPr>
        <w:t>op. cit.</w:t>
      </w:r>
      <w:r>
        <w:rPr>
          <w:rFonts w:ascii="Arial Narrow" w:hAnsi="Arial Narrow"/>
          <w:noProof/>
        </w:rPr>
        <w:t>, p. 5.</w:t>
      </w:r>
    </w:p>
  </w:footnote>
  <w:footnote w:id="25">
    <w:p w14:paraId="0C683F92" w14:textId="77777777" w:rsidR="007C736A" w:rsidRPr="006B620B" w:rsidRDefault="007C736A" w:rsidP="00727986">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A</w:t>
      </w:r>
      <w:r w:rsidRPr="006B620B">
        <w:rPr>
          <w:rFonts w:ascii="Arial Narrow" w:hAnsi="Arial Narrow" w:cs="Arabic Typesetting"/>
          <w:noProof/>
        </w:rPr>
        <w:t xml:space="preserve">. </w:t>
      </w:r>
      <w:r w:rsidRPr="006B620B">
        <w:rPr>
          <w:rFonts w:ascii="Arial Narrow" w:hAnsi="Arial Narrow" w:cs="Arabic Typesetting"/>
          <w:smallCaps/>
          <w:noProof/>
        </w:rPr>
        <w:t>Barak</w:t>
      </w:r>
      <w:r w:rsidRPr="006B620B">
        <w:rPr>
          <w:rFonts w:ascii="Arial Narrow" w:hAnsi="Arial Narrow" w:cs="Arabic Typesetting"/>
          <w:noProof/>
        </w:rPr>
        <w:t xml:space="preserve">, </w:t>
      </w:r>
      <w:r>
        <w:rPr>
          <w:rFonts w:ascii="Arial Narrow" w:hAnsi="Arial Narrow" w:cs="Arabic Typesetting"/>
          <w:noProof/>
        </w:rPr>
        <w:t>“Human rights in terror – A judicial point of view”, Seminar organised on the occasion</w:t>
      </w:r>
      <w:r w:rsidRPr="006B620B">
        <w:rPr>
          <w:rFonts w:ascii="Arial Narrow" w:hAnsi="Arial Narrow" w:cs="Arabic Typesetting"/>
          <w:noProof/>
        </w:rPr>
        <w:t xml:space="preserve"> </w:t>
      </w:r>
      <w:r>
        <w:rPr>
          <w:rFonts w:ascii="Arial Narrow" w:hAnsi="Arial Narrow" w:cs="Arabic Typesetting"/>
          <w:noProof/>
        </w:rPr>
        <w:t>of the opening</w:t>
      </w:r>
      <w:r w:rsidRPr="006B620B">
        <w:rPr>
          <w:rFonts w:ascii="Arial Narrow" w:hAnsi="Arial Narrow" w:cs="Arabic Typesetting"/>
          <w:noProof/>
        </w:rPr>
        <w:t xml:space="preserve"> </w:t>
      </w:r>
      <w:r>
        <w:rPr>
          <w:rFonts w:ascii="Arial Narrow" w:hAnsi="Arial Narrow" w:cs="Arabic Typesetting"/>
          <w:noProof/>
        </w:rPr>
        <w:t>of the judicial year of the European Court of Human Rights, Strasbourg, 29 January</w:t>
      </w:r>
      <w:r w:rsidRPr="006B620B">
        <w:rPr>
          <w:rFonts w:ascii="Arial Narrow" w:hAnsi="Arial Narrow" w:cs="Arabic Typesetting"/>
          <w:noProof/>
        </w:rPr>
        <w:t xml:space="preserve"> 2016.</w:t>
      </w:r>
    </w:p>
  </w:footnote>
  <w:footnote w:id="26">
    <w:p w14:paraId="455E3C25" w14:textId="1862A2B2"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sidR="006F19C8" w:rsidRPr="00B86A17">
        <w:rPr>
          <w:rFonts w:ascii="Arial Narrow" w:hAnsi="Arial Narrow"/>
          <w:i/>
          <w:noProof/>
        </w:rPr>
        <w:t>Ibid.</w:t>
      </w:r>
      <w:r w:rsidR="006F19C8" w:rsidRPr="00B86A17">
        <w:rPr>
          <w:rFonts w:ascii="Arial Narrow" w:hAnsi="Arial Narrow"/>
          <w:noProof/>
        </w:rPr>
        <w:t xml:space="preserve">, see </w:t>
      </w:r>
      <w:r>
        <w:rPr>
          <w:rFonts w:ascii="Arial Narrow" w:hAnsi="Arial Narrow" w:cs="Arabic Typesetting"/>
          <w:noProof/>
        </w:rPr>
        <w:t>ECtHR</w:t>
      </w:r>
      <w:r w:rsidRPr="006B620B">
        <w:rPr>
          <w:rFonts w:ascii="Arial Narrow" w:hAnsi="Arial Narrow" w:cs="Arabic Typesetting"/>
          <w:noProof/>
        </w:rPr>
        <w:t xml:space="preserve">, </w:t>
      </w:r>
      <w:r w:rsidRPr="007007F8">
        <w:rPr>
          <w:rFonts w:ascii="Arial Narrow" w:hAnsi="Arial Narrow" w:cs="Arabic Typesetting"/>
          <w:i/>
          <w:noProof/>
        </w:rPr>
        <w:t xml:space="preserve">United Communist Party of Turkey and Others v. Turkey </w:t>
      </w:r>
      <w:r>
        <w:rPr>
          <w:rFonts w:ascii="Arial Narrow" w:hAnsi="Arial Narrow" w:cs="Arabic Typesetting"/>
          <w:noProof/>
        </w:rPr>
        <w:t>judgment of</w:t>
      </w:r>
      <w:r w:rsidRPr="006B620B">
        <w:rPr>
          <w:rFonts w:ascii="Arial Narrow" w:hAnsi="Arial Narrow" w:cs="Arabic Typesetting"/>
          <w:noProof/>
        </w:rPr>
        <w:t xml:space="preserve"> 30 </w:t>
      </w:r>
      <w:r>
        <w:rPr>
          <w:rFonts w:ascii="Arial Narrow" w:hAnsi="Arial Narrow" w:cs="Arabic Typesetting"/>
          <w:noProof/>
        </w:rPr>
        <w:t>January</w:t>
      </w:r>
      <w:r w:rsidRPr="006B620B">
        <w:rPr>
          <w:rFonts w:ascii="Arial Narrow" w:hAnsi="Arial Narrow" w:cs="Arabic Typesetting"/>
          <w:noProof/>
        </w:rPr>
        <w:t xml:space="preserve"> 1998, § 57. </w:t>
      </w:r>
    </w:p>
  </w:footnote>
  <w:footnote w:id="27">
    <w:p w14:paraId="76500861"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cs="Arabic Typesetting"/>
          <w:noProof/>
        </w:rPr>
        <w:t xml:space="preserve">, </w:t>
      </w:r>
      <w:r w:rsidRPr="006B620B">
        <w:rPr>
          <w:rFonts w:ascii="Arial Narrow" w:hAnsi="Arial Narrow" w:cs="Arabic Typesetting"/>
          <w:i/>
          <w:noProof/>
        </w:rPr>
        <w:t xml:space="preserve">Klass </w:t>
      </w:r>
      <w:r>
        <w:rPr>
          <w:rFonts w:ascii="Arial Narrow" w:hAnsi="Arial Narrow" w:cs="Arabic Typesetting"/>
          <w:i/>
          <w:noProof/>
        </w:rPr>
        <w:t>and Others v. Germany</w:t>
      </w:r>
      <w:r>
        <w:rPr>
          <w:rFonts w:ascii="Arial Narrow" w:hAnsi="Arial Narrow" w:cs="Arabic Typesetting"/>
          <w:noProof/>
        </w:rPr>
        <w:t xml:space="preserve"> judgment of 6 September </w:t>
      </w:r>
      <w:r w:rsidRPr="006B620B">
        <w:rPr>
          <w:rFonts w:ascii="Arial Narrow" w:hAnsi="Arial Narrow" w:cs="Arabic Typesetting"/>
          <w:noProof/>
        </w:rPr>
        <w:t>1978, § 49.</w:t>
      </w:r>
    </w:p>
  </w:footnote>
  <w:footnote w:id="28">
    <w:p w14:paraId="775E7915"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cs="Arabic Typesetting"/>
          <w:noProof/>
        </w:rPr>
        <w:t xml:space="preserve"> (GC), </w:t>
      </w:r>
      <w:r w:rsidRPr="006B620B">
        <w:rPr>
          <w:rFonts w:ascii="Arial Narrow" w:hAnsi="Arial Narrow" w:cs="Arabic Typesetting"/>
          <w:i/>
          <w:noProof/>
        </w:rPr>
        <w:t xml:space="preserve">El-Masri </w:t>
      </w:r>
      <w:r>
        <w:rPr>
          <w:rFonts w:ascii="Arial Narrow" w:hAnsi="Arial Narrow" w:cs="Arabic Typesetting"/>
          <w:i/>
          <w:noProof/>
        </w:rPr>
        <w:t>v</w:t>
      </w:r>
      <w:r w:rsidRPr="006B620B">
        <w:rPr>
          <w:rFonts w:ascii="Arial Narrow" w:hAnsi="Arial Narrow" w:cs="Arabic Typesetting"/>
          <w:i/>
          <w:noProof/>
        </w:rPr>
        <w:t xml:space="preserve">. </w:t>
      </w:r>
      <w:r>
        <w:rPr>
          <w:rFonts w:ascii="Arial Narrow" w:hAnsi="Arial Narrow" w:cs="Arabic Typesetting"/>
          <w:i/>
          <w:noProof/>
        </w:rPr>
        <w:t>“the former Yugoslav Republic of Macedonia”</w:t>
      </w:r>
      <w:r>
        <w:rPr>
          <w:rFonts w:ascii="Arial Narrow" w:hAnsi="Arial Narrow" w:cs="Arabic Typesetting"/>
          <w:noProof/>
        </w:rPr>
        <w:t xml:space="preserve"> of 13 December</w:t>
      </w:r>
      <w:r w:rsidRPr="006B620B">
        <w:rPr>
          <w:rFonts w:ascii="Arial Narrow" w:hAnsi="Arial Narrow" w:cs="Arabic Typesetting"/>
          <w:noProof/>
        </w:rPr>
        <w:t xml:space="preserve"> 2012, § 223.</w:t>
      </w:r>
    </w:p>
  </w:footnote>
  <w:footnote w:id="29">
    <w:p w14:paraId="7E58009A"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sidRPr="006B620B">
        <w:rPr>
          <w:rFonts w:ascii="Arial Narrow" w:hAnsi="Arial Narrow" w:cs="Arabic Typesetting"/>
          <w:i/>
          <w:noProof/>
        </w:rPr>
        <w:t>Ibid.</w:t>
      </w:r>
      <w:r w:rsidRPr="006B620B">
        <w:rPr>
          <w:rFonts w:ascii="Arial Narrow" w:hAnsi="Arial Narrow" w:cs="Arabic Typesetting"/>
          <w:noProof/>
        </w:rPr>
        <w:t>, § 191.</w:t>
      </w:r>
    </w:p>
  </w:footnote>
  <w:footnote w:id="30">
    <w:p w14:paraId="111C1C65"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noProof/>
        </w:rPr>
        <w:t xml:space="preserve">, </w:t>
      </w:r>
      <w:r w:rsidRPr="006B620B">
        <w:rPr>
          <w:rFonts w:ascii="Arial Narrow" w:hAnsi="Arial Narrow"/>
          <w:i/>
          <w:noProof/>
        </w:rPr>
        <w:t xml:space="preserve">Al Nashiri </w:t>
      </w:r>
      <w:r>
        <w:rPr>
          <w:rFonts w:ascii="Arial Narrow" w:hAnsi="Arial Narrow"/>
          <w:i/>
          <w:noProof/>
        </w:rPr>
        <w:t>v</w:t>
      </w:r>
      <w:r w:rsidRPr="006B620B">
        <w:rPr>
          <w:rFonts w:ascii="Arial Narrow" w:hAnsi="Arial Narrow"/>
          <w:i/>
          <w:noProof/>
        </w:rPr>
        <w:t>. Pol</w:t>
      </w:r>
      <w:r>
        <w:rPr>
          <w:rFonts w:ascii="Arial Narrow" w:hAnsi="Arial Narrow"/>
          <w:i/>
          <w:noProof/>
        </w:rPr>
        <w:t>and</w:t>
      </w:r>
      <w:r>
        <w:rPr>
          <w:rFonts w:ascii="Arial Narrow" w:hAnsi="Arial Narrow"/>
          <w:noProof/>
        </w:rPr>
        <w:t xml:space="preserve"> judgment of 24 July</w:t>
      </w:r>
      <w:r w:rsidRPr="006B620B">
        <w:rPr>
          <w:rFonts w:ascii="Arial Narrow" w:hAnsi="Arial Narrow"/>
          <w:noProof/>
        </w:rPr>
        <w:t xml:space="preserve"> 2014, §§ 578-579.</w:t>
      </w:r>
    </w:p>
  </w:footnote>
  <w:footnote w:id="31">
    <w:p w14:paraId="7E79F952"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noProof/>
        </w:rPr>
        <w:t xml:space="preserve">, </w:t>
      </w:r>
      <w:r>
        <w:rPr>
          <w:rFonts w:ascii="Arial Narrow" w:hAnsi="Arial Narrow"/>
          <w:i/>
          <w:noProof/>
        </w:rPr>
        <w:t>Nasr and Ghali v</w:t>
      </w:r>
      <w:r w:rsidRPr="006B620B">
        <w:rPr>
          <w:rFonts w:ascii="Arial Narrow" w:hAnsi="Arial Narrow"/>
          <w:i/>
          <w:noProof/>
        </w:rPr>
        <w:t>. Ital</w:t>
      </w:r>
      <w:r>
        <w:rPr>
          <w:rFonts w:ascii="Arial Narrow" w:hAnsi="Arial Narrow"/>
          <w:i/>
          <w:noProof/>
        </w:rPr>
        <w:t>y</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23 </w:t>
      </w:r>
      <w:r>
        <w:rPr>
          <w:rFonts w:ascii="Arial Narrow" w:hAnsi="Arial Narrow"/>
          <w:noProof/>
        </w:rPr>
        <w:t xml:space="preserve">February </w:t>
      </w:r>
      <w:r w:rsidRPr="006B620B">
        <w:rPr>
          <w:rFonts w:ascii="Arial Narrow" w:hAnsi="Arial Narrow"/>
          <w:noProof/>
        </w:rPr>
        <w:t>2016, §§ 284-291.</w:t>
      </w:r>
    </w:p>
  </w:footnote>
  <w:footnote w:id="32">
    <w:p w14:paraId="285ECC8E" w14:textId="77777777" w:rsidR="007C736A" w:rsidRPr="00443910" w:rsidRDefault="007C736A" w:rsidP="00895297">
      <w:pPr>
        <w:pStyle w:val="FootnoteText"/>
        <w:widowControl w:val="0"/>
        <w:jc w:val="both"/>
        <w:rPr>
          <w:rFonts w:ascii="Arial Narrow" w:hAnsi="Arial Narrow"/>
          <w:noProof/>
          <w:lang w:val="fr-FR"/>
        </w:rPr>
      </w:pPr>
      <w:r w:rsidRPr="006B620B">
        <w:rPr>
          <w:rStyle w:val="FootnoteReference"/>
          <w:rFonts w:ascii="Arial Narrow" w:hAnsi="Arial Narrow"/>
          <w:noProof/>
        </w:rPr>
        <w:footnoteRef/>
      </w:r>
      <w:r w:rsidRPr="00443910">
        <w:rPr>
          <w:rFonts w:ascii="Arial Narrow" w:hAnsi="Arial Narrow"/>
          <w:noProof/>
          <w:lang w:val="fr-FR"/>
        </w:rPr>
        <w:t xml:space="preserve">. Applications </w:t>
      </w:r>
      <w:r w:rsidRPr="00443910">
        <w:rPr>
          <w:rFonts w:ascii="Arial Narrow" w:hAnsi="Arial Narrow"/>
          <w:i/>
          <w:noProof/>
          <w:lang w:val="fr-FR"/>
        </w:rPr>
        <w:t xml:space="preserve">Al Nashiri v. Romania </w:t>
      </w:r>
      <w:r w:rsidRPr="00443910">
        <w:rPr>
          <w:rFonts w:ascii="Arial Narrow" w:hAnsi="Arial Narrow"/>
          <w:noProof/>
          <w:lang w:val="fr-FR"/>
        </w:rPr>
        <w:t xml:space="preserve">(no. 33234/12) and </w:t>
      </w:r>
      <w:r w:rsidRPr="00443910">
        <w:rPr>
          <w:rFonts w:ascii="Arial Narrow" w:hAnsi="Arial Narrow"/>
          <w:i/>
          <w:noProof/>
          <w:lang w:val="fr-FR"/>
        </w:rPr>
        <w:t>Abu Zubaydah v. Lithuania</w:t>
      </w:r>
      <w:r w:rsidRPr="00443910">
        <w:rPr>
          <w:rFonts w:ascii="Arial Narrow" w:hAnsi="Arial Narrow"/>
          <w:noProof/>
          <w:lang w:val="fr-FR"/>
        </w:rPr>
        <w:t xml:space="preserve"> (no. 46454/11).</w:t>
      </w:r>
    </w:p>
  </w:footnote>
  <w:footnote w:id="33">
    <w:p w14:paraId="57DA3089" w14:textId="77777777" w:rsidR="007C736A" w:rsidRPr="00443910" w:rsidRDefault="007C736A" w:rsidP="00895297">
      <w:pPr>
        <w:pStyle w:val="FootnoteText"/>
        <w:widowControl w:val="0"/>
        <w:jc w:val="both"/>
        <w:rPr>
          <w:rFonts w:ascii="Arial Narrow" w:hAnsi="Arial Narrow"/>
          <w:noProof/>
          <w:lang w:val="fr-FR"/>
        </w:rPr>
      </w:pPr>
      <w:r w:rsidRPr="0046501A">
        <w:rPr>
          <w:rStyle w:val="FootnoteReference"/>
          <w:rFonts w:ascii="Arial Narrow" w:hAnsi="Arial Narrow"/>
          <w:noProof/>
        </w:rPr>
        <w:footnoteRef/>
      </w:r>
      <w:r w:rsidRPr="00443910">
        <w:rPr>
          <w:rFonts w:ascii="Arial Narrow" w:hAnsi="Arial Narrow"/>
          <w:noProof/>
          <w:lang w:val="fr-FR"/>
        </w:rPr>
        <w:t xml:space="preserve">. See J. </w:t>
      </w:r>
      <w:r w:rsidRPr="00443910">
        <w:rPr>
          <w:rFonts w:ascii="Arial Narrow" w:hAnsi="Arial Narrow"/>
          <w:smallCaps/>
          <w:noProof/>
          <w:lang w:val="fr-FR"/>
        </w:rPr>
        <w:t>Portier</w:t>
      </w:r>
      <w:r w:rsidRPr="00443910">
        <w:rPr>
          <w:rFonts w:ascii="Arial Narrow" w:hAnsi="Arial Narrow"/>
          <w:noProof/>
          <w:lang w:val="fr-FR"/>
        </w:rPr>
        <w:t>,</w:t>
      </w:r>
      <w:r w:rsidRPr="00443910">
        <w:rPr>
          <w:rFonts w:ascii="Arial Narrow" w:hAnsi="Arial Narrow"/>
          <w:lang w:val="fr-FR"/>
        </w:rPr>
        <w:t xml:space="preserve"> “L</w:t>
      </w:r>
      <w:r w:rsidRPr="00443910">
        <w:rPr>
          <w:rFonts w:ascii="Arial Narrow" w:hAnsi="Arial Narrow"/>
          <w:noProof/>
          <w:lang w:val="fr-FR"/>
        </w:rPr>
        <w:t xml:space="preserve">a notion d'arbitraire dans la jurisprudence de la Cour européenne des droits de l'homme”, </w:t>
      </w:r>
      <w:r w:rsidRPr="00443910">
        <w:rPr>
          <w:rFonts w:ascii="Arial Narrow" w:hAnsi="Arial Narrow"/>
          <w:i/>
          <w:noProof/>
          <w:lang w:val="fr-FR"/>
        </w:rPr>
        <w:t>Les cahiers de la justice</w:t>
      </w:r>
      <w:r w:rsidRPr="00443910">
        <w:rPr>
          <w:rFonts w:ascii="Arial Narrow" w:hAnsi="Arial Narrow"/>
          <w:noProof/>
          <w:lang w:val="fr-FR"/>
        </w:rPr>
        <w:t>, no. 2016/3, pp. 521 et seq.</w:t>
      </w:r>
    </w:p>
  </w:footnote>
  <w:footnote w:id="34">
    <w:p w14:paraId="6884E683"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noProof/>
        </w:rPr>
        <w:t xml:space="preserve"> (GC), </w:t>
      </w:r>
      <w:r w:rsidRPr="006B620B">
        <w:rPr>
          <w:rFonts w:ascii="Arial Narrow" w:hAnsi="Arial Narrow"/>
          <w:i/>
          <w:noProof/>
        </w:rPr>
        <w:t xml:space="preserve">Del Río Prada </w:t>
      </w:r>
      <w:r>
        <w:rPr>
          <w:rFonts w:ascii="Arial Narrow" w:hAnsi="Arial Narrow"/>
          <w:i/>
          <w:noProof/>
        </w:rPr>
        <w:t>v</w:t>
      </w:r>
      <w:r w:rsidRPr="006B620B">
        <w:rPr>
          <w:rFonts w:ascii="Arial Narrow" w:hAnsi="Arial Narrow"/>
          <w:i/>
          <w:noProof/>
        </w:rPr>
        <w:t xml:space="preserve">. </w:t>
      </w:r>
      <w:r>
        <w:rPr>
          <w:rFonts w:ascii="Arial Narrow" w:hAnsi="Arial Narrow"/>
          <w:i/>
          <w:noProof/>
        </w:rPr>
        <w:t>Spain</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21 </w:t>
      </w:r>
      <w:r>
        <w:rPr>
          <w:rFonts w:ascii="Arial Narrow" w:hAnsi="Arial Narrow"/>
          <w:noProof/>
        </w:rPr>
        <w:t>October</w:t>
      </w:r>
      <w:r w:rsidRPr="006B620B">
        <w:rPr>
          <w:rFonts w:ascii="Arial Narrow" w:hAnsi="Arial Narrow"/>
          <w:noProof/>
        </w:rPr>
        <w:t xml:space="preserve"> 2013, § 77.</w:t>
      </w:r>
    </w:p>
  </w:footnote>
  <w:footnote w:id="35">
    <w:p w14:paraId="4D8C1B43"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sidRPr="006B620B">
        <w:rPr>
          <w:rFonts w:ascii="Arial Narrow" w:hAnsi="Arial Narrow"/>
          <w:i/>
          <w:noProof/>
        </w:rPr>
        <w:t>Ibid.</w:t>
      </w:r>
      <w:r w:rsidRPr="006B620B">
        <w:rPr>
          <w:rFonts w:ascii="Arial Narrow" w:hAnsi="Arial Narrow"/>
          <w:noProof/>
        </w:rPr>
        <w:t>, §§ 111-112.</w:t>
      </w:r>
    </w:p>
  </w:footnote>
  <w:footnote w:id="36">
    <w:p w14:paraId="12FEB3DB"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sidRPr="006B620B">
        <w:rPr>
          <w:rFonts w:ascii="Arial Narrow" w:hAnsi="Arial Narrow"/>
          <w:i/>
          <w:noProof/>
        </w:rPr>
        <w:t>Ibid.</w:t>
      </w:r>
      <w:r w:rsidRPr="006B620B">
        <w:rPr>
          <w:rFonts w:ascii="Arial Narrow" w:hAnsi="Arial Narrow"/>
          <w:noProof/>
        </w:rPr>
        <w:t>, §§ 116-117.</w:t>
      </w:r>
    </w:p>
  </w:footnote>
  <w:footnote w:id="37">
    <w:p w14:paraId="50469C38"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Pr>
          <w:rFonts w:ascii="Arial Narrow" w:hAnsi="Arial Narrow"/>
          <w:noProof/>
        </w:rPr>
        <w:t xml:space="preserve">, </w:t>
      </w:r>
      <w:r w:rsidRPr="006B620B">
        <w:rPr>
          <w:rFonts w:ascii="Arial Narrow" w:hAnsi="Arial Narrow"/>
          <w:i/>
          <w:noProof/>
        </w:rPr>
        <w:t xml:space="preserve">Sher </w:t>
      </w:r>
      <w:r>
        <w:rPr>
          <w:rFonts w:ascii="Arial Narrow" w:hAnsi="Arial Narrow"/>
          <w:i/>
          <w:noProof/>
        </w:rPr>
        <w:t xml:space="preserve">and Others v. the United Kingdom </w:t>
      </w:r>
      <w:r>
        <w:rPr>
          <w:rFonts w:ascii="Arial Narrow" w:hAnsi="Arial Narrow"/>
          <w:noProof/>
        </w:rPr>
        <w:t>judgment of</w:t>
      </w:r>
      <w:r w:rsidRPr="006B620B">
        <w:rPr>
          <w:rFonts w:ascii="Arial Narrow" w:hAnsi="Arial Narrow"/>
          <w:noProof/>
        </w:rPr>
        <w:t xml:space="preserve"> 20 </w:t>
      </w:r>
      <w:r>
        <w:rPr>
          <w:rFonts w:ascii="Arial Narrow" w:hAnsi="Arial Narrow"/>
          <w:noProof/>
        </w:rPr>
        <w:t>October</w:t>
      </w:r>
      <w:r w:rsidRPr="006B620B">
        <w:rPr>
          <w:rFonts w:ascii="Arial Narrow" w:hAnsi="Arial Narrow"/>
          <w:noProof/>
        </w:rPr>
        <w:t xml:space="preserve"> 2015, §§ 150-157.</w:t>
      </w:r>
    </w:p>
  </w:footnote>
  <w:footnote w:id="38">
    <w:p w14:paraId="3FE3EB02" w14:textId="77777777" w:rsidR="007C736A" w:rsidRPr="003E224D" w:rsidRDefault="007C736A" w:rsidP="00895297">
      <w:pPr>
        <w:pStyle w:val="FootnoteText"/>
        <w:widowControl w:val="0"/>
        <w:jc w:val="both"/>
        <w:rPr>
          <w:rFonts w:ascii="Arial Narrow" w:hAnsi="Arial Narrow" w:cs="Arabic Typesetting"/>
          <w:noProof/>
          <w:lang w:val="fr-FR"/>
        </w:rPr>
      </w:pPr>
      <w:r w:rsidRPr="006B620B">
        <w:rPr>
          <w:rStyle w:val="FootnoteReference"/>
          <w:rFonts w:ascii="Arial Narrow" w:hAnsi="Arial Narrow" w:cs="Arabic Typesetting"/>
          <w:noProof/>
        </w:rPr>
        <w:footnoteRef/>
      </w:r>
      <w:r w:rsidRPr="003E224D">
        <w:rPr>
          <w:rFonts w:ascii="Arial Narrow" w:hAnsi="Arial Narrow" w:cs="Arabic Typesetting"/>
          <w:noProof/>
          <w:lang w:val="fr-FR"/>
        </w:rPr>
        <w:t xml:space="preserve">. Fr. </w:t>
      </w:r>
      <w:r w:rsidRPr="003E224D">
        <w:rPr>
          <w:rFonts w:ascii="Arial Narrow" w:hAnsi="Arial Narrow" w:cs="Arabic Typesetting"/>
          <w:smallCaps/>
          <w:noProof/>
          <w:lang w:val="fr-FR"/>
        </w:rPr>
        <w:t>Bernard</w:t>
      </w:r>
      <w:r w:rsidRPr="003E224D">
        <w:rPr>
          <w:rFonts w:ascii="Arial Narrow" w:hAnsi="Arial Narrow" w:cs="Arabic Typesetting"/>
          <w:noProof/>
          <w:lang w:val="fr-FR"/>
        </w:rPr>
        <w:t xml:space="preserve">, “La Cour européenne des droits de l’homme et la lutte contre le terrorisme”, </w:t>
      </w:r>
      <w:r w:rsidRPr="003E224D">
        <w:rPr>
          <w:rFonts w:ascii="Arial Narrow" w:hAnsi="Arial Narrow" w:cs="Arabic Typesetting"/>
          <w:i/>
          <w:noProof/>
          <w:lang w:val="fr-FR"/>
        </w:rPr>
        <w:t>op. cit.</w:t>
      </w:r>
    </w:p>
  </w:footnote>
  <w:footnote w:id="39">
    <w:p w14:paraId="25BB7D53"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3E224D">
        <w:rPr>
          <w:rFonts w:ascii="Arial Narrow" w:hAnsi="Arial Narrow"/>
          <w:noProof/>
          <w:lang w:val="fr-FR"/>
        </w:rPr>
        <w:t xml:space="preserve">. </w:t>
      </w:r>
      <w:r w:rsidRPr="003E224D">
        <w:rPr>
          <w:rFonts w:ascii="Arial Narrow" w:hAnsi="Arial Narrow" w:cs="Arabic Typesetting"/>
          <w:noProof/>
          <w:lang w:val="fr-FR"/>
        </w:rPr>
        <w:t>ECtHR</w:t>
      </w:r>
      <w:r w:rsidRPr="003E224D">
        <w:rPr>
          <w:rFonts w:ascii="Arial Narrow" w:hAnsi="Arial Narrow"/>
          <w:noProof/>
          <w:lang w:val="fr-FR"/>
        </w:rPr>
        <w:t xml:space="preserve"> (GC), </w:t>
      </w:r>
      <w:r w:rsidRPr="003E224D">
        <w:rPr>
          <w:rFonts w:ascii="Arial Narrow" w:hAnsi="Arial Narrow"/>
          <w:i/>
          <w:noProof/>
          <w:lang w:val="fr-FR"/>
        </w:rPr>
        <w:t>Selmouni v. France</w:t>
      </w:r>
      <w:r w:rsidRPr="003E224D">
        <w:rPr>
          <w:rFonts w:ascii="Arial Narrow" w:hAnsi="Arial Narrow"/>
          <w:noProof/>
          <w:lang w:val="fr-FR"/>
        </w:rPr>
        <w:t xml:space="preserve"> judgment of 28 July 1999, § 95; </w:t>
      </w:r>
      <w:r w:rsidRPr="003E224D">
        <w:rPr>
          <w:rFonts w:ascii="Arial Narrow" w:hAnsi="Arial Narrow" w:cs="Arabic Typesetting"/>
          <w:noProof/>
          <w:lang w:val="fr-FR"/>
        </w:rPr>
        <w:t>ECtHR</w:t>
      </w:r>
      <w:r w:rsidRPr="003E224D">
        <w:rPr>
          <w:rFonts w:ascii="Arial Narrow" w:hAnsi="Arial Narrow"/>
          <w:noProof/>
          <w:lang w:val="fr-FR"/>
        </w:rPr>
        <w:t xml:space="preserve"> (GC), </w:t>
      </w:r>
      <w:r w:rsidRPr="003E224D">
        <w:rPr>
          <w:rFonts w:ascii="Arial Narrow" w:hAnsi="Arial Narrow"/>
          <w:i/>
          <w:noProof/>
          <w:lang w:val="fr-FR"/>
        </w:rPr>
        <w:t>Labita v. Italy</w:t>
      </w:r>
      <w:r w:rsidRPr="003E224D">
        <w:rPr>
          <w:rFonts w:ascii="Arial Narrow" w:hAnsi="Arial Narrow"/>
          <w:noProof/>
          <w:lang w:val="fr-FR"/>
        </w:rPr>
        <w:t xml:space="preserve"> judgment of 6 April 2000, § 119; </w:t>
      </w:r>
      <w:r w:rsidRPr="003E224D">
        <w:rPr>
          <w:rFonts w:ascii="Arial Narrow" w:hAnsi="Arial Narrow" w:cs="Arabic Typesetting"/>
          <w:noProof/>
          <w:lang w:val="fr-FR"/>
        </w:rPr>
        <w:t>ECtHR</w:t>
      </w:r>
      <w:r w:rsidRPr="003E224D">
        <w:rPr>
          <w:rFonts w:ascii="Arial Narrow" w:hAnsi="Arial Narrow"/>
          <w:noProof/>
          <w:lang w:val="fr-FR"/>
        </w:rPr>
        <w:t xml:space="preserve"> (GC), </w:t>
      </w:r>
      <w:r w:rsidRPr="003E224D">
        <w:rPr>
          <w:rFonts w:ascii="Arial Narrow" w:hAnsi="Arial Narrow"/>
          <w:i/>
          <w:noProof/>
          <w:lang w:val="fr-FR"/>
        </w:rPr>
        <w:t>Ramirez Sanchez v. France</w:t>
      </w:r>
      <w:r w:rsidRPr="003E224D">
        <w:rPr>
          <w:rFonts w:ascii="Arial Narrow" w:hAnsi="Arial Narrow"/>
          <w:noProof/>
          <w:lang w:val="fr-FR"/>
        </w:rPr>
        <w:t xml:space="preserve"> judgment of 4 July 2006, § 115. </w:t>
      </w:r>
      <w:r>
        <w:rPr>
          <w:rFonts w:ascii="Arial Narrow" w:hAnsi="Arial Narrow"/>
          <w:noProof/>
        </w:rPr>
        <w:t>See also</w:t>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noProof/>
        </w:rPr>
        <w:t xml:space="preserve"> (GC), </w:t>
      </w:r>
      <w:r>
        <w:rPr>
          <w:rFonts w:ascii="Arial Narrow" w:hAnsi="Arial Narrow"/>
          <w:i/>
          <w:noProof/>
        </w:rPr>
        <w:t>Gäfgen v</w:t>
      </w:r>
      <w:r w:rsidRPr="006B620B">
        <w:rPr>
          <w:rFonts w:ascii="Arial Narrow" w:hAnsi="Arial Narrow"/>
          <w:i/>
          <w:noProof/>
        </w:rPr>
        <w:t xml:space="preserve">. </w:t>
      </w:r>
      <w:r>
        <w:rPr>
          <w:rFonts w:ascii="Arial Narrow" w:hAnsi="Arial Narrow"/>
          <w:i/>
          <w:noProof/>
        </w:rPr>
        <w:t>Germany</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1</w:t>
      </w:r>
      <w:r>
        <w:rPr>
          <w:rFonts w:ascii="Arial Narrow" w:hAnsi="Arial Narrow"/>
          <w:noProof/>
        </w:rPr>
        <w:t xml:space="preserve"> June</w:t>
      </w:r>
      <w:r w:rsidRPr="006B620B">
        <w:rPr>
          <w:rFonts w:ascii="Arial Narrow" w:hAnsi="Arial Narrow"/>
          <w:noProof/>
        </w:rPr>
        <w:t xml:space="preserve"> 2010, § 87.</w:t>
      </w:r>
    </w:p>
  </w:footnote>
  <w:footnote w:id="40">
    <w:p w14:paraId="24C3AB93"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Pr>
          <w:rFonts w:ascii="Arial Narrow" w:hAnsi="Arial Narrow"/>
          <w:noProof/>
        </w:rPr>
        <w:t xml:space="preserve"> (GC), </w:t>
      </w:r>
      <w:r>
        <w:rPr>
          <w:rFonts w:ascii="Arial Narrow" w:hAnsi="Arial Narrow"/>
          <w:i/>
          <w:noProof/>
        </w:rPr>
        <w:t>Saadi v</w:t>
      </w:r>
      <w:r w:rsidRPr="006B620B">
        <w:rPr>
          <w:rFonts w:ascii="Arial Narrow" w:hAnsi="Arial Narrow"/>
          <w:i/>
          <w:noProof/>
        </w:rPr>
        <w:t>. Ital</w:t>
      </w:r>
      <w:r>
        <w:rPr>
          <w:rFonts w:ascii="Arial Narrow" w:hAnsi="Arial Narrow"/>
          <w:i/>
          <w:noProof/>
        </w:rPr>
        <w:t>y</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28 </w:t>
      </w:r>
      <w:r>
        <w:rPr>
          <w:rFonts w:ascii="Arial Narrow" w:hAnsi="Arial Narrow"/>
          <w:noProof/>
        </w:rPr>
        <w:t>February</w:t>
      </w:r>
      <w:r w:rsidRPr="006B620B">
        <w:rPr>
          <w:rFonts w:ascii="Arial Narrow" w:hAnsi="Arial Narrow"/>
          <w:noProof/>
        </w:rPr>
        <w:t xml:space="preserve"> 2008, § 127.</w:t>
      </w:r>
    </w:p>
  </w:footnote>
  <w:footnote w:id="41">
    <w:p w14:paraId="0199F8C1"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sidRPr="006B620B">
        <w:rPr>
          <w:rFonts w:ascii="Arial Narrow" w:hAnsi="Arial Narrow"/>
          <w:i/>
          <w:noProof/>
        </w:rPr>
        <w:t>Ibid</w:t>
      </w:r>
      <w:r>
        <w:rPr>
          <w:rFonts w:ascii="Arial Narrow" w:hAnsi="Arial Narrow"/>
          <w:noProof/>
        </w:rPr>
        <w:t>., § 137</w:t>
      </w:r>
      <w:r w:rsidRPr="006B620B">
        <w:rPr>
          <w:rFonts w:ascii="Arial Narrow" w:hAnsi="Arial Narrow"/>
          <w:noProof/>
        </w:rPr>
        <w:t>.</w:t>
      </w:r>
    </w:p>
  </w:footnote>
  <w:footnote w:id="42">
    <w:p w14:paraId="0AE8A922"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Pr>
          <w:rFonts w:ascii="Arial Narrow" w:hAnsi="Arial Narrow"/>
          <w:noProof/>
        </w:rPr>
        <w:t xml:space="preserve"> (GC), </w:t>
      </w:r>
      <w:r w:rsidRPr="006B620B">
        <w:rPr>
          <w:rFonts w:ascii="Arial Narrow" w:hAnsi="Arial Narrow"/>
          <w:i/>
          <w:noProof/>
        </w:rPr>
        <w:t xml:space="preserve">A. </w:t>
      </w:r>
      <w:r>
        <w:rPr>
          <w:rFonts w:ascii="Arial Narrow" w:hAnsi="Arial Narrow"/>
          <w:i/>
          <w:noProof/>
        </w:rPr>
        <w:t>and Others v. the United Kingdom</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19 </w:t>
      </w:r>
      <w:r>
        <w:rPr>
          <w:rFonts w:ascii="Arial Narrow" w:hAnsi="Arial Narrow"/>
          <w:noProof/>
        </w:rPr>
        <w:t>February</w:t>
      </w:r>
      <w:r w:rsidRPr="006B620B">
        <w:rPr>
          <w:rFonts w:ascii="Arial Narrow" w:hAnsi="Arial Narrow"/>
          <w:noProof/>
        </w:rPr>
        <w:t xml:space="preserve"> 2009, § 139.</w:t>
      </w:r>
    </w:p>
  </w:footnote>
  <w:footnote w:id="43">
    <w:p w14:paraId="1AAD267E"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sidRPr="00A13879">
        <w:rPr>
          <w:rFonts w:ascii="Arial Narrow" w:hAnsi="Arial Narrow"/>
          <w:i/>
          <w:noProof/>
        </w:rPr>
        <w:t>Ibid.</w:t>
      </w:r>
      <w:r w:rsidRPr="006B620B">
        <w:rPr>
          <w:rFonts w:ascii="Arial Narrow" w:hAnsi="Arial Narrow"/>
          <w:noProof/>
        </w:rPr>
        <w:t>, § 190.</w:t>
      </w:r>
    </w:p>
  </w:footnote>
  <w:footnote w:id="44">
    <w:p w14:paraId="1D51F7E6" w14:textId="6C9FFDC8" w:rsidR="00A3118A" w:rsidRPr="006B620B" w:rsidRDefault="00A3118A" w:rsidP="00A3118A">
      <w:pPr>
        <w:pStyle w:val="FootnoteText"/>
        <w:widowControl w:val="0"/>
        <w:jc w:val="both"/>
        <w:rPr>
          <w:rFonts w:ascii="Arial Narrow" w:hAnsi="Arial Narrow"/>
          <w:noProof/>
        </w:rPr>
      </w:pPr>
      <w:r w:rsidRPr="005467D7">
        <w:rPr>
          <w:rStyle w:val="FootnoteReference"/>
          <w:rFonts w:ascii="Arial Narrow" w:hAnsi="Arial Narrow"/>
          <w:noProof/>
        </w:rPr>
        <w:footnoteRef/>
      </w:r>
      <w:r w:rsidRPr="005467D7">
        <w:rPr>
          <w:rFonts w:ascii="Arial Narrow" w:hAnsi="Arial Narrow"/>
          <w:noProof/>
        </w:rPr>
        <w:t xml:space="preserve">. </w:t>
      </w:r>
      <w:r w:rsidRPr="005467D7">
        <w:rPr>
          <w:rFonts w:ascii="Arial Narrow" w:hAnsi="Arial Narrow" w:cs="Arabic Typesetting"/>
          <w:noProof/>
        </w:rPr>
        <w:t>ECtHR</w:t>
      </w:r>
      <w:r w:rsidRPr="005467D7">
        <w:rPr>
          <w:rFonts w:ascii="Arial Narrow" w:hAnsi="Arial Narrow"/>
          <w:noProof/>
        </w:rPr>
        <w:t xml:space="preserve">, </w:t>
      </w:r>
      <w:r w:rsidRPr="005467D7">
        <w:rPr>
          <w:rFonts w:ascii="Arial Narrow" w:hAnsi="Arial Narrow"/>
          <w:i/>
          <w:noProof/>
        </w:rPr>
        <w:t>Trabelsi v. Belgium</w:t>
      </w:r>
      <w:r w:rsidRPr="005467D7">
        <w:rPr>
          <w:rFonts w:ascii="Arial Narrow" w:hAnsi="Arial Narrow"/>
          <w:noProof/>
        </w:rPr>
        <w:t xml:space="preserve"> judgment of 4 September 2014</w:t>
      </w:r>
      <w:r>
        <w:rPr>
          <w:rFonts w:ascii="Arial Narrow" w:hAnsi="Arial Narrow"/>
          <w:noProof/>
        </w:rPr>
        <w:t>, § 127</w:t>
      </w:r>
      <w:r w:rsidRPr="005467D7">
        <w:rPr>
          <w:rFonts w:ascii="Arial Narrow" w:hAnsi="Arial Narrow"/>
          <w:noProof/>
        </w:rPr>
        <w:t xml:space="preserve">. </w:t>
      </w:r>
    </w:p>
  </w:footnote>
  <w:footnote w:id="45">
    <w:p w14:paraId="2A2B1886" w14:textId="42F43D02" w:rsidR="006C7444" w:rsidRPr="006C7444" w:rsidRDefault="006C7444" w:rsidP="006C7444">
      <w:pPr>
        <w:pStyle w:val="FootnoteText"/>
        <w:widowControl w:val="0"/>
        <w:jc w:val="both"/>
        <w:rPr>
          <w:rFonts w:ascii="Arial Narrow" w:hAnsi="Arial Narrow"/>
          <w:noProof/>
          <w:lang w:val="fr-FR"/>
        </w:rPr>
      </w:pPr>
      <w:r w:rsidRPr="005467D7">
        <w:rPr>
          <w:rStyle w:val="FootnoteReference"/>
          <w:rFonts w:ascii="Arial Narrow" w:hAnsi="Arial Narrow"/>
          <w:noProof/>
        </w:rPr>
        <w:footnoteRef/>
      </w:r>
      <w:r w:rsidRPr="009B5651">
        <w:rPr>
          <w:rFonts w:ascii="Arial Narrow" w:hAnsi="Arial Narrow"/>
          <w:noProof/>
          <w:lang w:val="fr-FR"/>
        </w:rPr>
        <w:t xml:space="preserve">. </w:t>
      </w:r>
      <w:r w:rsidRPr="006C7444">
        <w:rPr>
          <w:rFonts w:ascii="Arial Narrow" w:hAnsi="Arial Narrow"/>
          <w:i/>
          <w:noProof/>
          <w:lang w:val="fr-FR"/>
        </w:rPr>
        <w:t>Ibid.</w:t>
      </w:r>
      <w:r w:rsidRPr="006C7444">
        <w:rPr>
          <w:rFonts w:ascii="Arial Narrow" w:hAnsi="Arial Narrow"/>
          <w:noProof/>
          <w:lang w:val="fr-FR"/>
        </w:rPr>
        <w:t xml:space="preserve">, </w:t>
      </w:r>
      <w:r>
        <w:rPr>
          <w:rFonts w:ascii="Arial Narrow" w:hAnsi="Arial Narrow"/>
          <w:noProof/>
          <w:lang w:val="fr-FR"/>
        </w:rPr>
        <w:t>§§ 136-139.</w:t>
      </w:r>
      <w:r w:rsidRPr="006C7444">
        <w:rPr>
          <w:rFonts w:ascii="Arial Narrow" w:hAnsi="Arial Narrow"/>
          <w:noProof/>
          <w:lang w:val="fr-FR"/>
        </w:rPr>
        <w:t xml:space="preserve"> </w:t>
      </w:r>
    </w:p>
  </w:footnote>
  <w:footnote w:id="46">
    <w:p w14:paraId="308611F1" w14:textId="77777777" w:rsidR="007C736A" w:rsidRPr="003E224D" w:rsidRDefault="007C736A" w:rsidP="00895297">
      <w:pPr>
        <w:pStyle w:val="FootnoteText"/>
        <w:widowControl w:val="0"/>
        <w:jc w:val="both"/>
        <w:rPr>
          <w:rFonts w:ascii="Arial Narrow" w:hAnsi="Arial Narrow"/>
          <w:noProof/>
          <w:lang w:val="fr-FR"/>
        </w:rPr>
      </w:pPr>
      <w:r w:rsidRPr="006B620B">
        <w:rPr>
          <w:rStyle w:val="FootnoteReference"/>
          <w:rFonts w:ascii="Arial Narrow" w:hAnsi="Arial Narrow"/>
          <w:noProof/>
        </w:rPr>
        <w:footnoteRef/>
      </w:r>
      <w:r w:rsidRPr="003E224D">
        <w:rPr>
          <w:rFonts w:ascii="Arial Narrow" w:hAnsi="Arial Narrow"/>
          <w:noProof/>
          <w:lang w:val="fr-FR"/>
        </w:rPr>
        <w:t xml:space="preserve">. A. </w:t>
      </w:r>
      <w:r w:rsidRPr="003E224D">
        <w:rPr>
          <w:rFonts w:ascii="Arial Narrow" w:hAnsi="Arial Narrow"/>
          <w:smallCaps/>
          <w:noProof/>
          <w:lang w:val="fr-FR"/>
        </w:rPr>
        <w:t>Petropoulou</w:t>
      </w:r>
      <w:r w:rsidRPr="003E224D">
        <w:rPr>
          <w:rFonts w:ascii="Arial Narrow" w:hAnsi="Arial Narrow"/>
          <w:noProof/>
          <w:lang w:val="fr-FR"/>
        </w:rPr>
        <w:t xml:space="preserve">, </w:t>
      </w:r>
      <w:r w:rsidRPr="003E224D">
        <w:rPr>
          <w:rFonts w:ascii="Arial Narrow" w:hAnsi="Arial Narrow"/>
          <w:i/>
          <w:noProof/>
          <w:lang w:val="fr-FR"/>
        </w:rPr>
        <w:t>Liberté et sécurité: les mesures antiterroristes et la Cour européenne des droits de l’homme</w:t>
      </w:r>
      <w:r w:rsidRPr="003E224D">
        <w:rPr>
          <w:rFonts w:ascii="Arial Narrow" w:hAnsi="Arial Narrow"/>
          <w:noProof/>
          <w:lang w:val="fr-FR"/>
        </w:rPr>
        <w:t>, Paris, Pedone, 2014, p. 492.</w:t>
      </w:r>
    </w:p>
  </w:footnote>
  <w:footnote w:id="47">
    <w:p w14:paraId="226B060C"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cs="Arabic Typesetting"/>
          <w:noProof/>
        </w:rPr>
        <w:t xml:space="preserve">, </w:t>
      </w:r>
      <w:r w:rsidRPr="006B620B">
        <w:rPr>
          <w:rFonts w:ascii="Arial Narrow" w:hAnsi="Arial Narrow" w:cs="Arabic Typesetting"/>
          <w:i/>
          <w:noProof/>
        </w:rPr>
        <w:t xml:space="preserve">Heaney </w:t>
      </w:r>
      <w:r>
        <w:rPr>
          <w:rFonts w:ascii="Arial Narrow" w:hAnsi="Arial Narrow" w:cs="Arabic Typesetting"/>
          <w:i/>
          <w:noProof/>
        </w:rPr>
        <w:t>and McGuinness v. Ir</w:t>
      </w:r>
      <w:r w:rsidRPr="006B620B">
        <w:rPr>
          <w:rFonts w:ascii="Arial Narrow" w:hAnsi="Arial Narrow" w:cs="Arabic Typesetting"/>
          <w:i/>
          <w:noProof/>
        </w:rPr>
        <w:t>e</w:t>
      </w:r>
      <w:r>
        <w:rPr>
          <w:rFonts w:ascii="Arial Narrow" w:hAnsi="Arial Narrow" w:cs="Arabic Typesetting"/>
          <w:i/>
          <w:noProof/>
        </w:rPr>
        <w:t>land</w:t>
      </w:r>
      <w:r w:rsidRPr="006B620B">
        <w:rPr>
          <w:rFonts w:ascii="Arial Narrow" w:hAnsi="Arial Narrow" w:cs="Arabic Typesetting"/>
          <w:i/>
          <w:noProof/>
        </w:rPr>
        <w:t xml:space="preserve"> </w:t>
      </w:r>
      <w:r>
        <w:rPr>
          <w:rFonts w:ascii="Arial Narrow" w:hAnsi="Arial Narrow" w:cs="Arabic Typesetting"/>
          <w:noProof/>
        </w:rPr>
        <w:t>judgment of</w:t>
      </w:r>
      <w:r w:rsidRPr="006B620B">
        <w:rPr>
          <w:rFonts w:ascii="Arial Narrow" w:hAnsi="Arial Narrow" w:cs="Arabic Typesetting"/>
          <w:noProof/>
        </w:rPr>
        <w:t xml:space="preserve"> 21 </w:t>
      </w:r>
      <w:r>
        <w:rPr>
          <w:rFonts w:ascii="Arial Narrow" w:hAnsi="Arial Narrow" w:cs="Arabic Typesetting"/>
          <w:noProof/>
        </w:rPr>
        <w:t>December</w:t>
      </w:r>
      <w:r w:rsidRPr="006B620B">
        <w:rPr>
          <w:rFonts w:ascii="Arial Narrow" w:hAnsi="Arial Narrow" w:cs="Arabic Typesetting"/>
          <w:noProof/>
        </w:rPr>
        <w:t xml:space="preserve"> 2000.</w:t>
      </w:r>
    </w:p>
  </w:footnote>
  <w:footnote w:id="48">
    <w:p w14:paraId="7ED3B660"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noProof/>
        </w:rPr>
        <w:t xml:space="preserve"> (GC), </w:t>
      </w:r>
      <w:r w:rsidRPr="006B620B">
        <w:rPr>
          <w:rFonts w:ascii="Arial Narrow" w:hAnsi="Arial Narrow"/>
          <w:i/>
          <w:noProof/>
        </w:rPr>
        <w:t xml:space="preserve">Salduz </w:t>
      </w:r>
      <w:r>
        <w:rPr>
          <w:rFonts w:ascii="Arial Narrow" w:hAnsi="Arial Narrow"/>
          <w:i/>
          <w:noProof/>
        </w:rPr>
        <w:t>v</w:t>
      </w:r>
      <w:r w:rsidRPr="006B620B">
        <w:rPr>
          <w:rFonts w:ascii="Arial Narrow" w:hAnsi="Arial Narrow"/>
          <w:i/>
          <w:noProof/>
        </w:rPr>
        <w:t>. Tur</w:t>
      </w:r>
      <w:r>
        <w:rPr>
          <w:rFonts w:ascii="Arial Narrow" w:hAnsi="Arial Narrow"/>
          <w:i/>
          <w:noProof/>
        </w:rPr>
        <w:t>k</w:t>
      </w:r>
      <w:r w:rsidRPr="006B620B">
        <w:rPr>
          <w:rFonts w:ascii="Arial Narrow" w:hAnsi="Arial Narrow"/>
          <w:i/>
          <w:noProof/>
        </w:rPr>
        <w:t>e</w:t>
      </w:r>
      <w:r>
        <w:rPr>
          <w:rFonts w:ascii="Arial Narrow" w:hAnsi="Arial Narrow"/>
          <w:i/>
          <w:noProof/>
        </w:rPr>
        <w:t>y</w:t>
      </w:r>
      <w:r w:rsidRPr="006B620B">
        <w:rPr>
          <w:rFonts w:ascii="Arial Narrow" w:hAnsi="Arial Narrow"/>
          <w:noProof/>
        </w:rPr>
        <w:t xml:space="preserve"> </w:t>
      </w:r>
      <w:r>
        <w:rPr>
          <w:rFonts w:ascii="Arial Narrow" w:hAnsi="Arial Narrow"/>
          <w:noProof/>
        </w:rPr>
        <w:t xml:space="preserve">judgment of </w:t>
      </w:r>
      <w:r w:rsidRPr="006B620B">
        <w:rPr>
          <w:rFonts w:ascii="Arial Narrow" w:hAnsi="Arial Narrow"/>
          <w:noProof/>
        </w:rPr>
        <w:t xml:space="preserve">27 </w:t>
      </w:r>
      <w:r>
        <w:rPr>
          <w:rFonts w:ascii="Arial Narrow" w:hAnsi="Arial Narrow"/>
          <w:noProof/>
        </w:rPr>
        <w:t>November</w:t>
      </w:r>
      <w:r w:rsidRPr="006B620B">
        <w:rPr>
          <w:rFonts w:ascii="Arial Narrow" w:hAnsi="Arial Narrow"/>
          <w:noProof/>
        </w:rPr>
        <w:t xml:space="preserve"> 2008.</w:t>
      </w:r>
    </w:p>
  </w:footnote>
  <w:footnote w:id="49">
    <w:p w14:paraId="1B086DAC"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 xml:space="preserve">ECtHR, </w:t>
      </w:r>
      <w:r>
        <w:rPr>
          <w:rFonts w:ascii="Arial Narrow" w:hAnsi="Arial Narrow" w:cs="Arabic Typesetting"/>
          <w:i/>
          <w:noProof/>
        </w:rPr>
        <w:t>Incal v</w:t>
      </w:r>
      <w:r w:rsidRPr="006B620B">
        <w:rPr>
          <w:rFonts w:ascii="Arial Narrow" w:hAnsi="Arial Narrow" w:cs="Arabic Typesetting"/>
          <w:i/>
          <w:noProof/>
        </w:rPr>
        <w:t>. Tur</w:t>
      </w:r>
      <w:r>
        <w:rPr>
          <w:rFonts w:ascii="Arial Narrow" w:hAnsi="Arial Narrow" w:cs="Arabic Typesetting"/>
          <w:i/>
          <w:noProof/>
        </w:rPr>
        <w:t>key</w:t>
      </w:r>
      <w:r w:rsidRPr="006B620B">
        <w:rPr>
          <w:rFonts w:ascii="Arial Narrow" w:hAnsi="Arial Narrow" w:cs="Arabic Typesetting"/>
          <w:i/>
          <w:noProof/>
        </w:rPr>
        <w:t xml:space="preserve"> </w:t>
      </w:r>
      <w:r>
        <w:rPr>
          <w:rFonts w:ascii="Arial Narrow" w:hAnsi="Arial Narrow" w:cs="Arabic Typesetting"/>
          <w:noProof/>
        </w:rPr>
        <w:t>judgment of 9 June</w:t>
      </w:r>
      <w:r w:rsidRPr="006B620B">
        <w:rPr>
          <w:rFonts w:ascii="Arial Narrow" w:hAnsi="Arial Narrow" w:cs="Arabic Typesetting"/>
          <w:noProof/>
        </w:rPr>
        <w:t xml:space="preserve"> 1998.</w:t>
      </w:r>
    </w:p>
  </w:footnote>
  <w:footnote w:id="50">
    <w:p w14:paraId="2D642F6F" w14:textId="77777777" w:rsidR="007C736A" w:rsidRPr="00E12D50" w:rsidRDefault="007C736A" w:rsidP="00895297">
      <w:pPr>
        <w:pStyle w:val="FootnoteText"/>
        <w:widowControl w:val="0"/>
        <w:jc w:val="both"/>
        <w:rPr>
          <w:rFonts w:ascii="Arial Narrow" w:hAnsi="Arial Narrow" w:cs="Arabic Typesetting"/>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noProof/>
        </w:rPr>
        <w:t>See</w:t>
      </w:r>
      <w:r w:rsidRPr="006B620B">
        <w:rPr>
          <w:rFonts w:ascii="Arial Narrow" w:hAnsi="Arial Narrow"/>
          <w:noProof/>
        </w:rPr>
        <w:t xml:space="preserve"> </w:t>
      </w:r>
      <w:r w:rsidRPr="00E12D50">
        <w:rPr>
          <w:rFonts w:ascii="Arial Narrow" w:hAnsi="Arial Narrow" w:cs="Arabic Typesetting"/>
          <w:smallCaps/>
          <w:noProof/>
        </w:rPr>
        <w:t>Consultative Council of European Judges</w:t>
      </w:r>
      <w:r w:rsidRPr="006B620B">
        <w:rPr>
          <w:rFonts w:ascii="Arial Narrow" w:hAnsi="Arial Narrow" w:cs="Arabic Typesetting"/>
          <w:noProof/>
        </w:rPr>
        <w:t xml:space="preserve">, </w:t>
      </w:r>
      <w:r>
        <w:rPr>
          <w:rFonts w:ascii="Arial Narrow" w:hAnsi="Arial Narrow" w:cs="Arabic Typesetting"/>
          <w:i/>
          <w:noProof/>
        </w:rPr>
        <w:t>Opinion</w:t>
      </w:r>
      <w:r w:rsidRPr="006B620B">
        <w:rPr>
          <w:rFonts w:ascii="Arial Narrow" w:hAnsi="Arial Narrow" w:cs="Arabic Typesetting"/>
          <w:i/>
          <w:noProof/>
        </w:rPr>
        <w:t xml:space="preserve"> n</w:t>
      </w:r>
      <w:r>
        <w:rPr>
          <w:rFonts w:ascii="Arial Narrow" w:hAnsi="Arial Narrow" w:cs="Arabic Typesetting"/>
          <w:i/>
          <w:noProof/>
        </w:rPr>
        <w:t>o.°</w:t>
      </w:r>
      <w:r w:rsidRPr="006B620B">
        <w:rPr>
          <w:rFonts w:ascii="Arial Narrow" w:hAnsi="Arial Narrow" w:cs="Arabic Typesetting"/>
          <w:i/>
          <w:noProof/>
        </w:rPr>
        <w:t xml:space="preserve"> (2006) </w:t>
      </w:r>
      <w:r>
        <w:rPr>
          <w:rFonts w:ascii="Arial Narrow" w:hAnsi="Arial Narrow" w:cs="Arabic Typesetting"/>
          <w:i/>
          <w:noProof/>
        </w:rPr>
        <w:t>Opinion N</w:t>
      </w:r>
      <w:r w:rsidRPr="00E12D50">
        <w:rPr>
          <w:rFonts w:ascii="Arial Narrow" w:hAnsi="Arial Narrow" w:cs="Arabic Typesetting"/>
          <w:i/>
          <w:noProof/>
        </w:rPr>
        <w:t>o</w:t>
      </w:r>
      <w:r>
        <w:rPr>
          <w:rFonts w:ascii="Arial Narrow" w:hAnsi="Arial Narrow" w:cs="Arabic Typesetting"/>
          <w:i/>
          <w:noProof/>
        </w:rPr>
        <w:t>.</w:t>
      </w:r>
      <w:r w:rsidRPr="00E12D50">
        <w:rPr>
          <w:rFonts w:ascii="Arial Narrow" w:hAnsi="Arial Narrow" w:cs="Arabic Typesetting"/>
          <w:i/>
          <w:noProof/>
        </w:rPr>
        <w:t xml:space="preserve"> 8 (2006) of the Consultative Council of European Judges (CCJE) for the attention of the Committee of Minis</w:t>
      </w:r>
      <w:r>
        <w:rPr>
          <w:rFonts w:ascii="Arial Narrow" w:hAnsi="Arial Narrow" w:cs="Arabic Typesetting"/>
          <w:i/>
          <w:noProof/>
        </w:rPr>
        <w:t xml:space="preserve">ters of the Council of Europe </w:t>
      </w:r>
      <w:r w:rsidRPr="00E12D50">
        <w:rPr>
          <w:rFonts w:ascii="Arial Narrow" w:hAnsi="Arial Narrow" w:cs="Arabic Typesetting"/>
          <w:i/>
          <w:noProof/>
        </w:rPr>
        <w:t>on "the role of judges in the protection of the rule of law and human rights in the context of terrorism"</w:t>
      </w:r>
      <w:r>
        <w:rPr>
          <w:rFonts w:ascii="Arial Narrow" w:hAnsi="Arial Narrow" w:cs="Arabic Typesetting"/>
          <w:noProof/>
        </w:rPr>
        <w:t>, doc. CCJE(2006)3, adopted by the</w:t>
      </w:r>
      <w:r w:rsidRPr="006B620B">
        <w:rPr>
          <w:rFonts w:ascii="Arial Narrow" w:hAnsi="Arial Narrow" w:cs="Arabic Typesetting"/>
          <w:noProof/>
        </w:rPr>
        <w:t xml:space="preserve"> CCJE </w:t>
      </w:r>
      <w:r>
        <w:rPr>
          <w:rFonts w:ascii="Arial Narrow" w:hAnsi="Arial Narrow" w:cs="Arabic Typesetting"/>
          <w:noProof/>
        </w:rPr>
        <w:t xml:space="preserve">at its </w:t>
      </w:r>
      <w:r w:rsidRPr="006B620B">
        <w:rPr>
          <w:rFonts w:ascii="Arial Narrow" w:hAnsi="Arial Narrow" w:cs="Arabic Typesetting"/>
          <w:noProof/>
        </w:rPr>
        <w:t>7</w:t>
      </w:r>
      <w:r>
        <w:rPr>
          <w:rFonts w:ascii="Arial Narrow" w:hAnsi="Arial Narrow" w:cs="Arabic Typesetting"/>
          <w:noProof/>
          <w:vertAlign w:val="superscript"/>
        </w:rPr>
        <w:t>th</w:t>
      </w:r>
      <w:r>
        <w:rPr>
          <w:rFonts w:ascii="Arial Narrow" w:hAnsi="Arial Narrow" w:cs="Arabic Typesetting"/>
          <w:noProof/>
        </w:rPr>
        <w:t xml:space="preserve"> meeting, Strasbourg, 10 Novemb</w:t>
      </w:r>
      <w:r w:rsidRPr="006B620B">
        <w:rPr>
          <w:rFonts w:ascii="Arial Narrow" w:hAnsi="Arial Narrow" w:cs="Arabic Typesetting"/>
          <w:noProof/>
        </w:rPr>
        <w:t>e</w:t>
      </w:r>
      <w:r>
        <w:rPr>
          <w:rFonts w:ascii="Arial Narrow" w:hAnsi="Arial Narrow" w:cs="Arabic Typesetting"/>
          <w:noProof/>
        </w:rPr>
        <w:t>r</w:t>
      </w:r>
      <w:r w:rsidRPr="006B620B">
        <w:rPr>
          <w:rFonts w:ascii="Arial Narrow" w:hAnsi="Arial Narrow" w:cs="Arabic Typesetting"/>
          <w:noProof/>
        </w:rPr>
        <w:t xml:space="preserve"> 2006.</w:t>
      </w:r>
    </w:p>
  </w:footnote>
  <w:footnote w:id="51">
    <w:p w14:paraId="777C87E4"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noProof/>
        </w:rPr>
        <w:t xml:space="preserve">, </w:t>
      </w:r>
      <w:r>
        <w:rPr>
          <w:rFonts w:ascii="Arial Narrow" w:hAnsi="Arial Narrow"/>
          <w:i/>
          <w:noProof/>
        </w:rPr>
        <w:t>Othman (Abu Qatada) v</w:t>
      </w:r>
      <w:r w:rsidRPr="006B620B">
        <w:rPr>
          <w:rFonts w:ascii="Arial Narrow" w:hAnsi="Arial Narrow"/>
          <w:i/>
          <w:noProof/>
        </w:rPr>
        <w:t xml:space="preserve">. </w:t>
      </w:r>
      <w:r>
        <w:rPr>
          <w:rFonts w:ascii="Arial Narrow" w:hAnsi="Arial Narrow"/>
          <w:i/>
          <w:noProof/>
        </w:rPr>
        <w:t>the United Kingdom</w:t>
      </w:r>
      <w:r w:rsidRPr="006B620B">
        <w:rPr>
          <w:rFonts w:ascii="Arial Narrow" w:hAnsi="Arial Narrow"/>
          <w:noProof/>
        </w:rPr>
        <w:t xml:space="preserve"> </w:t>
      </w:r>
      <w:r>
        <w:rPr>
          <w:rFonts w:ascii="Arial Narrow" w:hAnsi="Arial Narrow"/>
          <w:noProof/>
        </w:rPr>
        <w:t>judgment of 17 January</w:t>
      </w:r>
      <w:r w:rsidRPr="006B620B">
        <w:rPr>
          <w:rFonts w:ascii="Arial Narrow" w:hAnsi="Arial Narrow"/>
          <w:noProof/>
        </w:rPr>
        <w:t xml:space="preserve"> 2012, §§ 263-267.</w:t>
      </w:r>
    </w:p>
  </w:footnote>
  <w:footnote w:id="52">
    <w:p w14:paraId="7F763C79"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noProof/>
        </w:rPr>
        <w:t xml:space="preserve">, </w:t>
      </w:r>
      <w:r>
        <w:rPr>
          <w:rFonts w:ascii="Arial Narrow" w:hAnsi="Arial Narrow"/>
          <w:i/>
          <w:noProof/>
        </w:rPr>
        <w:t>El Haski v</w:t>
      </w:r>
      <w:r w:rsidRPr="006B620B">
        <w:rPr>
          <w:rFonts w:ascii="Arial Narrow" w:hAnsi="Arial Narrow"/>
          <w:i/>
          <w:noProof/>
        </w:rPr>
        <w:t>. Belgi</w:t>
      </w:r>
      <w:r>
        <w:rPr>
          <w:rFonts w:ascii="Arial Narrow" w:hAnsi="Arial Narrow"/>
          <w:i/>
          <w:noProof/>
        </w:rPr>
        <w:t>um</w:t>
      </w:r>
      <w:r w:rsidRPr="006B620B">
        <w:rPr>
          <w:rFonts w:ascii="Arial Narrow" w:hAnsi="Arial Narrow"/>
          <w:noProof/>
        </w:rPr>
        <w:t xml:space="preserve"> </w:t>
      </w:r>
      <w:r>
        <w:rPr>
          <w:rFonts w:ascii="Arial Narrow" w:hAnsi="Arial Narrow"/>
          <w:noProof/>
        </w:rPr>
        <w:t xml:space="preserve">judgment of </w:t>
      </w:r>
      <w:r w:rsidRPr="006B620B">
        <w:rPr>
          <w:rFonts w:ascii="Arial Narrow" w:hAnsi="Arial Narrow"/>
          <w:noProof/>
        </w:rPr>
        <w:t xml:space="preserve">25 </w:t>
      </w:r>
      <w:r>
        <w:rPr>
          <w:rFonts w:ascii="Arial Narrow" w:hAnsi="Arial Narrow"/>
          <w:noProof/>
        </w:rPr>
        <w:t>September</w:t>
      </w:r>
      <w:r w:rsidRPr="006B620B">
        <w:rPr>
          <w:rFonts w:ascii="Arial Narrow" w:hAnsi="Arial Narrow"/>
          <w:noProof/>
        </w:rPr>
        <w:t xml:space="preserve"> 2012.</w:t>
      </w:r>
    </w:p>
  </w:footnote>
  <w:footnote w:id="53">
    <w:p w14:paraId="3095C910" w14:textId="03E95775" w:rsidR="00D50C07" w:rsidRPr="008113A8" w:rsidRDefault="00D50C07" w:rsidP="00D50C07">
      <w:pPr>
        <w:pStyle w:val="FootnoteText"/>
        <w:widowControl w:val="0"/>
        <w:jc w:val="both"/>
        <w:rPr>
          <w:rFonts w:ascii="Arial Narrow" w:hAnsi="Arial Narrow"/>
          <w:noProof/>
        </w:rPr>
      </w:pPr>
      <w:r w:rsidRPr="001F1F3A">
        <w:rPr>
          <w:rStyle w:val="FootnoteReference"/>
          <w:rFonts w:ascii="Arial Narrow" w:hAnsi="Arial Narrow"/>
          <w:noProof/>
          <w:lang w:val="fr-FR"/>
        </w:rPr>
        <w:footnoteRef/>
      </w:r>
      <w:r w:rsidRPr="009B5651">
        <w:rPr>
          <w:rFonts w:ascii="Arial Narrow" w:hAnsi="Arial Narrow"/>
          <w:noProof/>
        </w:rPr>
        <w:t xml:space="preserve">. </w:t>
      </w:r>
      <w:r w:rsidR="008113A8" w:rsidRPr="008113A8">
        <w:rPr>
          <w:rFonts w:ascii="Arial Narrow" w:hAnsi="Arial Narrow" w:cs="Arabic Typesetting"/>
          <w:noProof/>
        </w:rPr>
        <w:t>ECtHR</w:t>
      </w:r>
      <w:r w:rsidRPr="008113A8">
        <w:rPr>
          <w:rFonts w:ascii="Arial Narrow" w:hAnsi="Arial Narrow"/>
          <w:noProof/>
        </w:rPr>
        <w:t xml:space="preserve">, </w:t>
      </w:r>
      <w:r w:rsidRPr="008113A8">
        <w:rPr>
          <w:rFonts w:ascii="Arial Narrow" w:hAnsi="Arial Narrow"/>
          <w:i/>
          <w:noProof/>
        </w:rPr>
        <w:t xml:space="preserve">Mc Kevitt </w:t>
      </w:r>
      <w:r w:rsidR="008113A8" w:rsidRPr="008113A8">
        <w:rPr>
          <w:rFonts w:ascii="Arial Narrow" w:hAnsi="Arial Narrow"/>
          <w:i/>
          <w:noProof/>
        </w:rPr>
        <w:t xml:space="preserve">and </w:t>
      </w:r>
      <w:r w:rsidRPr="008113A8">
        <w:rPr>
          <w:rFonts w:ascii="Arial Narrow" w:hAnsi="Arial Narrow"/>
          <w:i/>
          <w:noProof/>
        </w:rPr>
        <w:t xml:space="preserve">Campbell </w:t>
      </w:r>
      <w:r w:rsidR="008113A8" w:rsidRPr="008113A8">
        <w:rPr>
          <w:rFonts w:ascii="Arial Narrow" w:hAnsi="Arial Narrow"/>
          <w:i/>
          <w:noProof/>
        </w:rPr>
        <w:t>v. the United Kingdom</w:t>
      </w:r>
      <w:r w:rsidRPr="008113A8">
        <w:rPr>
          <w:rFonts w:ascii="Arial Narrow" w:hAnsi="Arial Narrow"/>
          <w:noProof/>
        </w:rPr>
        <w:t xml:space="preserve"> </w:t>
      </w:r>
      <w:r w:rsidR="008113A8" w:rsidRPr="008113A8">
        <w:rPr>
          <w:rFonts w:ascii="Arial Narrow" w:hAnsi="Arial Narrow"/>
          <w:noProof/>
        </w:rPr>
        <w:t>decision of</w:t>
      </w:r>
      <w:r w:rsidRPr="008113A8">
        <w:rPr>
          <w:rFonts w:ascii="Arial Narrow" w:hAnsi="Arial Narrow"/>
          <w:noProof/>
        </w:rPr>
        <w:t xml:space="preserve"> 6</w:t>
      </w:r>
      <w:r w:rsidR="008113A8" w:rsidRPr="008113A8">
        <w:rPr>
          <w:rFonts w:ascii="Arial Narrow" w:hAnsi="Arial Narrow"/>
          <w:noProof/>
        </w:rPr>
        <w:t xml:space="preserve"> September</w:t>
      </w:r>
      <w:r w:rsidRPr="008113A8">
        <w:rPr>
          <w:rFonts w:ascii="Arial Narrow" w:hAnsi="Arial Narrow"/>
          <w:noProof/>
        </w:rPr>
        <w:t xml:space="preserve"> 2016, § 68.</w:t>
      </w:r>
    </w:p>
  </w:footnote>
  <w:footnote w:id="54">
    <w:p w14:paraId="75FAD787"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noProof/>
        </w:rPr>
        <w:t xml:space="preserve"> (GC), </w:t>
      </w:r>
      <w:r w:rsidRPr="006B620B">
        <w:rPr>
          <w:rFonts w:ascii="Arial Narrow" w:hAnsi="Arial Narrow"/>
          <w:i/>
          <w:noProof/>
        </w:rPr>
        <w:t xml:space="preserve">Ibrahim </w:t>
      </w:r>
      <w:r>
        <w:rPr>
          <w:rFonts w:ascii="Arial Narrow" w:hAnsi="Arial Narrow"/>
          <w:i/>
          <w:noProof/>
        </w:rPr>
        <w:t>and Others v. the United Kingdom</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13 </w:t>
      </w:r>
      <w:r>
        <w:rPr>
          <w:rFonts w:ascii="Arial Narrow" w:hAnsi="Arial Narrow"/>
          <w:noProof/>
        </w:rPr>
        <w:t>September</w:t>
      </w:r>
      <w:r w:rsidRPr="006B620B">
        <w:rPr>
          <w:rFonts w:ascii="Arial Narrow" w:hAnsi="Arial Narrow"/>
          <w:noProof/>
        </w:rPr>
        <w:t xml:space="preserve"> 2016.</w:t>
      </w:r>
    </w:p>
  </w:footnote>
  <w:footnote w:id="55">
    <w:p w14:paraId="332B53B3"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sidRPr="006B620B">
        <w:rPr>
          <w:rFonts w:ascii="Arial Narrow" w:hAnsi="Arial Narrow"/>
          <w:i/>
          <w:noProof/>
        </w:rPr>
        <w:t>Ibid.</w:t>
      </w:r>
      <w:r w:rsidRPr="006B620B">
        <w:rPr>
          <w:rFonts w:ascii="Arial Narrow" w:hAnsi="Arial Narrow"/>
          <w:noProof/>
        </w:rPr>
        <w:t>, § 252.</w:t>
      </w:r>
    </w:p>
  </w:footnote>
  <w:footnote w:id="56">
    <w:p w14:paraId="2036C508"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sidRPr="006B620B">
        <w:rPr>
          <w:rFonts w:ascii="Arial Narrow" w:hAnsi="Arial Narrow"/>
          <w:i/>
          <w:noProof/>
        </w:rPr>
        <w:t>Ibid.</w:t>
      </w:r>
    </w:p>
  </w:footnote>
  <w:footnote w:id="57">
    <w:p w14:paraId="703196ED"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sidRPr="006B620B">
        <w:rPr>
          <w:rFonts w:ascii="Arial Narrow" w:hAnsi="Arial Narrow"/>
          <w:i/>
          <w:noProof/>
        </w:rPr>
        <w:t>Ibid.</w:t>
      </w:r>
    </w:p>
  </w:footnote>
  <w:footnote w:id="58">
    <w:p w14:paraId="3977E5D4" w14:textId="77777777" w:rsidR="007C736A" w:rsidRPr="005574E5"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noProof/>
        </w:rPr>
        <w:t xml:space="preserve">See the </w:t>
      </w:r>
      <w:r w:rsidRPr="000F427D">
        <w:rPr>
          <w:rFonts w:ascii="Arial Narrow" w:hAnsi="Arial Narrow"/>
          <w:noProof/>
        </w:rPr>
        <w:t>joint partly dissenting, partly concurring opinion of Judges Sajó and Laffranque</w:t>
      </w:r>
      <w:r>
        <w:rPr>
          <w:rFonts w:ascii="Arial Narrow" w:hAnsi="Arial Narrow"/>
          <w:noProof/>
        </w:rPr>
        <w:t xml:space="preserve"> annexed to the </w:t>
      </w:r>
      <w:r w:rsidRPr="000167F0">
        <w:rPr>
          <w:rFonts w:ascii="Arial Narrow" w:hAnsi="Arial Narrow"/>
          <w:i/>
          <w:noProof/>
        </w:rPr>
        <w:t xml:space="preserve">Ibrahim </w:t>
      </w:r>
      <w:r>
        <w:rPr>
          <w:rFonts w:ascii="Arial Narrow" w:hAnsi="Arial Narrow"/>
          <w:i/>
          <w:noProof/>
        </w:rPr>
        <w:t>and Others v. the United Kingdom</w:t>
      </w:r>
      <w:r>
        <w:rPr>
          <w:rFonts w:ascii="Arial Narrow" w:hAnsi="Arial Narrow"/>
          <w:noProof/>
        </w:rPr>
        <w:t xml:space="preserve"> judgment, at § 21. </w:t>
      </w:r>
    </w:p>
  </w:footnote>
  <w:footnote w:id="59">
    <w:p w14:paraId="47B8C6DD"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noProof/>
        </w:rPr>
        <w:t>See</w:t>
      </w:r>
      <w:r w:rsidRPr="006B620B">
        <w:rPr>
          <w:rFonts w:ascii="Arial Narrow" w:hAnsi="Arial Narrow"/>
          <w:noProof/>
        </w:rPr>
        <w:t xml:space="preserve"> Fr. </w:t>
      </w:r>
      <w:r w:rsidRPr="006B620B">
        <w:rPr>
          <w:rFonts w:ascii="Arial Narrow" w:hAnsi="Arial Narrow"/>
          <w:smallCaps/>
          <w:noProof/>
        </w:rPr>
        <w:t>Tulkens</w:t>
      </w:r>
      <w:r>
        <w:rPr>
          <w:rFonts w:ascii="Arial Narrow" w:hAnsi="Arial Narrow"/>
          <w:noProof/>
        </w:rPr>
        <w:t>, “</w:t>
      </w:r>
      <w:r w:rsidRPr="006B620B">
        <w:rPr>
          <w:rFonts w:ascii="Arial Narrow" w:hAnsi="Arial Narrow"/>
          <w:noProof/>
        </w:rPr>
        <w:t xml:space="preserve">When to say is to do. Freedom of expression and hate speech in the case-law of the </w:t>
      </w:r>
      <w:r>
        <w:rPr>
          <w:rFonts w:ascii="Arial Narrow" w:hAnsi="Arial Narrow"/>
          <w:noProof/>
        </w:rPr>
        <w:t>European Court of Human Rights”</w:t>
      </w:r>
      <w:r w:rsidRPr="006B620B">
        <w:rPr>
          <w:rFonts w:ascii="Arial Narrow" w:hAnsi="Arial Narrow"/>
          <w:noProof/>
        </w:rPr>
        <w:t xml:space="preserve">, </w:t>
      </w:r>
      <w:r w:rsidRPr="006B620B">
        <w:rPr>
          <w:rFonts w:ascii="Arial Narrow" w:hAnsi="Arial Narrow"/>
          <w:i/>
          <w:noProof/>
        </w:rPr>
        <w:t>Freedom of expression. Essays in Honour of Nicolas Bratza</w:t>
      </w:r>
      <w:r w:rsidRPr="006B620B">
        <w:rPr>
          <w:rFonts w:ascii="Arial Narrow" w:hAnsi="Arial Narrow"/>
          <w:noProof/>
        </w:rPr>
        <w:t>, Oisterwijk, Wolf Legal Publishers, 2012, pp. 279- et s</w:t>
      </w:r>
      <w:r>
        <w:rPr>
          <w:rFonts w:ascii="Arial Narrow" w:hAnsi="Arial Narrow"/>
          <w:noProof/>
        </w:rPr>
        <w:t>eq</w:t>
      </w:r>
      <w:r w:rsidRPr="006B620B">
        <w:rPr>
          <w:rFonts w:ascii="Arial Narrow" w:hAnsi="Arial Narrow"/>
          <w:noProof/>
        </w:rPr>
        <w:t>.</w:t>
      </w:r>
    </w:p>
  </w:footnote>
  <w:footnote w:id="60">
    <w:p w14:paraId="16B1E5C1" w14:textId="77777777" w:rsidR="007C736A" w:rsidRPr="003E224D" w:rsidRDefault="007C736A" w:rsidP="00895297">
      <w:pPr>
        <w:pStyle w:val="FootnoteText"/>
        <w:widowControl w:val="0"/>
        <w:jc w:val="both"/>
        <w:rPr>
          <w:rFonts w:ascii="Arial Narrow" w:hAnsi="Arial Narrow"/>
          <w:noProof/>
          <w:lang w:val="fr-FR"/>
        </w:rPr>
      </w:pPr>
      <w:r w:rsidRPr="006B620B">
        <w:rPr>
          <w:rStyle w:val="FootnoteReference"/>
          <w:rFonts w:ascii="Arial Narrow" w:hAnsi="Arial Narrow"/>
          <w:noProof/>
        </w:rPr>
        <w:footnoteRef/>
      </w:r>
      <w:r w:rsidRPr="003E224D">
        <w:rPr>
          <w:rFonts w:ascii="Arial Narrow" w:hAnsi="Arial Narrow"/>
          <w:noProof/>
          <w:lang w:val="fr-FR"/>
        </w:rPr>
        <w:t xml:space="preserve">. O. </w:t>
      </w:r>
      <w:r w:rsidRPr="003E224D">
        <w:rPr>
          <w:rFonts w:ascii="Arial Narrow" w:hAnsi="Arial Narrow"/>
          <w:smallCaps/>
          <w:lang w:val="fr-FR"/>
        </w:rPr>
        <w:t>De Schutter</w:t>
      </w:r>
      <w:r w:rsidRPr="003E224D">
        <w:rPr>
          <w:rFonts w:ascii="Arial Narrow" w:hAnsi="Arial Narrow"/>
          <w:lang w:val="fr-FR"/>
        </w:rPr>
        <w:t xml:space="preserve">, “La Convention européenne des droits de l’homme à l’épreuve de la lutte contre le terrorisme”, in E. Bribosia and A. Weyembergh (eds), </w:t>
      </w:r>
      <w:r w:rsidRPr="003E224D">
        <w:rPr>
          <w:rFonts w:ascii="Arial Narrow" w:hAnsi="Arial Narrow"/>
          <w:i/>
          <w:lang w:val="fr-FR"/>
        </w:rPr>
        <w:t>Lutte contre le terrorisme et droits fondamentaux</w:t>
      </w:r>
      <w:r w:rsidRPr="003E224D">
        <w:rPr>
          <w:rFonts w:ascii="Arial Narrow" w:hAnsi="Arial Narrow"/>
          <w:lang w:val="fr-FR"/>
        </w:rPr>
        <w:t>, Brussels, Bruylant, 2002, pp. 90 et seq.</w:t>
      </w:r>
    </w:p>
  </w:footnote>
  <w:footnote w:id="61">
    <w:p w14:paraId="41C7CBF2"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Pr>
          <w:rFonts w:ascii="Arial Narrow" w:hAnsi="Arial Narrow"/>
          <w:noProof/>
        </w:rPr>
        <w:t xml:space="preserve">, </w:t>
      </w:r>
      <w:r w:rsidRPr="006B620B">
        <w:rPr>
          <w:rFonts w:ascii="Arial Narrow" w:hAnsi="Arial Narrow"/>
          <w:i/>
          <w:noProof/>
        </w:rPr>
        <w:t xml:space="preserve">Gillan </w:t>
      </w:r>
      <w:r>
        <w:rPr>
          <w:rFonts w:ascii="Arial Narrow" w:hAnsi="Arial Narrow"/>
          <w:i/>
          <w:noProof/>
        </w:rPr>
        <w:t>and</w:t>
      </w:r>
      <w:r w:rsidRPr="006B620B">
        <w:rPr>
          <w:rFonts w:ascii="Arial Narrow" w:hAnsi="Arial Narrow"/>
          <w:i/>
          <w:noProof/>
        </w:rPr>
        <w:t xml:space="preserve"> Quinton </w:t>
      </w:r>
      <w:r>
        <w:rPr>
          <w:rFonts w:ascii="Arial Narrow" w:hAnsi="Arial Narrow"/>
          <w:i/>
          <w:noProof/>
        </w:rPr>
        <w:t>v. the United Kingdom</w:t>
      </w:r>
      <w:r w:rsidRPr="006B620B">
        <w:rPr>
          <w:rFonts w:ascii="Arial Narrow" w:hAnsi="Arial Narrow"/>
          <w:i/>
          <w:noProof/>
        </w:rPr>
        <w:t xml:space="preserve"> </w:t>
      </w:r>
      <w:r>
        <w:rPr>
          <w:rFonts w:ascii="Arial Narrow" w:hAnsi="Arial Narrow"/>
          <w:noProof/>
        </w:rPr>
        <w:t>judgment of</w:t>
      </w:r>
      <w:r w:rsidRPr="006B620B">
        <w:rPr>
          <w:rFonts w:ascii="Arial Narrow" w:hAnsi="Arial Narrow"/>
          <w:noProof/>
        </w:rPr>
        <w:t xml:space="preserve"> 12 </w:t>
      </w:r>
      <w:r>
        <w:rPr>
          <w:rFonts w:ascii="Arial Narrow" w:hAnsi="Arial Narrow"/>
          <w:noProof/>
        </w:rPr>
        <w:t>January</w:t>
      </w:r>
      <w:r w:rsidRPr="006B620B">
        <w:rPr>
          <w:rFonts w:ascii="Arial Narrow" w:hAnsi="Arial Narrow"/>
          <w:noProof/>
        </w:rPr>
        <w:t xml:space="preserve"> 2010, § 87. </w:t>
      </w:r>
    </w:p>
  </w:footnote>
  <w:footnote w:id="62">
    <w:p w14:paraId="28E7CA8C"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Pr>
          <w:rFonts w:ascii="Arial Narrow" w:hAnsi="Arial Narrow"/>
          <w:noProof/>
        </w:rPr>
        <w:t xml:space="preserve">, </w:t>
      </w:r>
      <w:r>
        <w:rPr>
          <w:rFonts w:ascii="Arial Narrow" w:hAnsi="Arial Narrow"/>
          <w:i/>
          <w:noProof/>
        </w:rPr>
        <w:t>Blaj v. Ro</w:t>
      </w:r>
      <w:r w:rsidRPr="006B620B">
        <w:rPr>
          <w:rFonts w:ascii="Arial Narrow" w:hAnsi="Arial Narrow"/>
          <w:i/>
          <w:noProof/>
        </w:rPr>
        <w:t>mani</w:t>
      </w:r>
      <w:r>
        <w:rPr>
          <w:rFonts w:ascii="Arial Narrow" w:hAnsi="Arial Narrow"/>
          <w:i/>
          <w:noProof/>
        </w:rPr>
        <w:t>a</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8 </w:t>
      </w:r>
      <w:r>
        <w:rPr>
          <w:rFonts w:ascii="Arial Narrow" w:hAnsi="Arial Narrow"/>
          <w:noProof/>
        </w:rPr>
        <w:t>April</w:t>
      </w:r>
      <w:r w:rsidRPr="006B620B">
        <w:rPr>
          <w:rFonts w:ascii="Arial Narrow" w:hAnsi="Arial Narrow"/>
          <w:noProof/>
        </w:rPr>
        <w:t xml:space="preserve"> 2014.</w:t>
      </w:r>
    </w:p>
  </w:footnote>
  <w:footnote w:id="63">
    <w:p w14:paraId="5F522936"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noProof/>
        </w:rPr>
        <w:t xml:space="preserve"> (GC), </w:t>
      </w:r>
      <w:r>
        <w:rPr>
          <w:rFonts w:ascii="Arial Narrow" w:hAnsi="Arial Narrow"/>
          <w:i/>
          <w:noProof/>
        </w:rPr>
        <w:t>Nada v</w:t>
      </w:r>
      <w:r w:rsidRPr="006B620B">
        <w:rPr>
          <w:rFonts w:ascii="Arial Narrow" w:hAnsi="Arial Narrow"/>
          <w:i/>
          <w:noProof/>
        </w:rPr>
        <w:t>. S</w:t>
      </w:r>
      <w:r>
        <w:rPr>
          <w:rFonts w:ascii="Arial Narrow" w:hAnsi="Arial Narrow"/>
          <w:i/>
          <w:noProof/>
        </w:rPr>
        <w:t>witzerland</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12 </w:t>
      </w:r>
      <w:r>
        <w:rPr>
          <w:rFonts w:ascii="Arial Narrow" w:hAnsi="Arial Narrow"/>
          <w:noProof/>
        </w:rPr>
        <w:t xml:space="preserve">September </w:t>
      </w:r>
      <w:r w:rsidRPr="006B620B">
        <w:rPr>
          <w:rFonts w:ascii="Arial Narrow" w:hAnsi="Arial Narrow"/>
          <w:noProof/>
        </w:rPr>
        <w:t xml:space="preserve">2012, § 183. </w:t>
      </w:r>
    </w:p>
  </w:footnote>
  <w:footnote w:id="64">
    <w:p w14:paraId="6E03D9FA"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noProof/>
        </w:rPr>
        <w:t xml:space="preserve">, </w:t>
      </w:r>
      <w:r w:rsidRPr="006B620B">
        <w:rPr>
          <w:rFonts w:ascii="Arial Narrow" w:hAnsi="Arial Narrow"/>
          <w:i/>
          <w:noProof/>
        </w:rPr>
        <w:t xml:space="preserve">Klass </w:t>
      </w:r>
      <w:r>
        <w:rPr>
          <w:rFonts w:ascii="Arial Narrow" w:hAnsi="Arial Narrow"/>
          <w:i/>
          <w:noProof/>
        </w:rPr>
        <w:t>v</w:t>
      </w:r>
      <w:r w:rsidRPr="006B620B">
        <w:rPr>
          <w:rFonts w:ascii="Arial Narrow" w:hAnsi="Arial Narrow"/>
          <w:i/>
          <w:noProof/>
        </w:rPr>
        <w:t xml:space="preserve">. </w:t>
      </w:r>
      <w:r>
        <w:rPr>
          <w:rFonts w:ascii="Arial Narrow" w:hAnsi="Arial Narrow"/>
          <w:i/>
          <w:noProof/>
        </w:rPr>
        <w:t>Germany</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6 </w:t>
      </w:r>
      <w:r>
        <w:rPr>
          <w:rFonts w:ascii="Arial Narrow" w:hAnsi="Arial Narrow"/>
          <w:noProof/>
        </w:rPr>
        <w:t>September</w:t>
      </w:r>
      <w:r w:rsidRPr="006B620B">
        <w:rPr>
          <w:rFonts w:ascii="Arial Narrow" w:hAnsi="Arial Narrow"/>
          <w:noProof/>
        </w:rPr>
        <w:t xml:space="preserve"> 1978, §§ 46 et s. </w:t>
      </w:r>
    </w:p>
  </w:footnote>
  <w:footnote w:id="65">
    <w:p w14:paraId="24CE3219" w14:textId="77777777" w:rsidR="007C736A" w:rsidRPr="006B620B" w:rsidRDefault="007C736A" w:rsidP="00895297">
      <w:pPr>
        <w:pStyle w:val="FootnoteText"/>
        <w:widowControl w:val="0"/>
        <w:jc w:val="both"/>
        <w:rPr>
          <w:rFonts w:ascii="Arial Narrow" w:hAnsi="Arial Narrow"/>
          <w:noProof/>
        </w:rPr>
      </w:pPr>
      <w:r w:rsidRPr="006B620B">
        <w:rPr>
          <w:rStyle w:val="FootnoteReference"/>
          <w:rFonts w:ascii="Arial Narrow" w:hAnsi="Arial Narrow"/>
          <w:noProof/>
        </w:rPr>
        <w:footnoteRef/>
      </w:r>
      <w:r w:rsidRPr="006B620B">
        <w:rPr>
          <w:rFonts w:ascii="Arial Narrow" w:hAnsi="Arial Narrow"/>
          <w:noProof/>
        </w:rPr>
        <w:t xml:space="preserve">. </w:t>
      </w:r>
      <w:r>
        <w:rPr>
          <w:rFonts w:ascii="Arial Narrow" w:hAnsi="Arial Narrow" w:cs="Arabic Typesetting"/>
          <w:noProof/>
        </w:rPr>
        <w:t>ECtHR</w:t>
      </w:r>
      <w:r w:rsidRPr="006B620B">
        <w:rPr>
          <w:rFonts w:ascii="Arial Narrow" w:hAnsi="Arial Narrow"/>
          <w:noProof/>
        </w:rPr>
        <w:t xml:space="preserve"> (GC), </w:t>
      </w:r>
      <w:r>
        <w:rPr>
          <w:rFonts w:ascii="Arial Narrow" w:hAnsi="Arial Narrow"/>
          <w:i/>
          <w:noProof/>
        </w:rPr>
        <w:t>Nada v</w:t>
      </w:r>
      <w:r w:rsidRPr="006B620B">
        <w:rPr>
          <w:rFonts w:ascii="Arial Narrow" w:hAnsi="Arial Narrow"/>
          <w:i/>
          <w:noProof/>
        </w:rPr>
        <w:t>. S</w:t>
      </w:r>
      <w:r>
        <w:rPr>
          <w:rFonts w:ascii="Arial Narrow" w:hAnsi="Arial Narrow"/>
          <w:i/>
          <w:noProof/>
        </w:rPr>
        <w:t>witzerland</w:t>
      </w:r>
      <w:r w:rsidRPr="006B620B">
        <w:rPr>
          <w:rFonts w:ascii="Arial Narrow" w:hAnsi="Arial Narrow"/>
          <w:noProof/>
        </w:rPr>
        <w:t xml:space="preserve"> </w:t>
      </w:r>
      <w:r>
        <w:rPr>
          <w:rFonts w:ascii="Arial Narrow" w:hAnsi="Arial Narrow"/>
          <w:noProof/>
        </w:rPr>
        <w:t>judgment of</w:t>
      </w:r>
      <w:r w:rsidRPr="006B620B">
        <w:rPr>
          <w:rFonts w:ascii="Arial Narrow" w:hAnsi="Arial Narrow"/>
          <w:noProof/>
        </w:rPr>
        <w:t xml:space="preserve"> 12 </w:t>
      </w:r>
      <w:r>
        <w:rPr>
          <w:rFonts w:ascii="Arial Narrow" w:hAnsi="Arial Narrow"/>
          <w:noProof/>
        </w:rPr>
        <w:t xml:space="preserve">September </w:t>
      </w:r>
      <w:r w:rsidRPr="006B620B">
        <w:rPr>
          <w:rFonts w:ascii="Arial Narrow" w:hAnsi="Arial Narrow"/>
          <w:noProof/>
        </w:rPr>
        <w:t>2012, § 184.</w:t>
      </w:r>
    </w:p>
  </w:footnote>
  <w:footnote w:id="66">
    <w:p w14:paraId="1564C0AD" w14:textId="002C507E" w:rsidR="007C736A" w:rsidRPr="003E224D" w:rsidRDefault="007C736A" w:rsidP="00895297">
      <w:pPr>
        <w:pStyle w:val="FootnoteText"/>
        <w:widowControl w:val="0"/>
        <w:jc w:val="both"/>
        <w:rPr>
          <w:rFonts w:ascii="Arial Narrow" w:hAnsi="Arial Narrow"/>
          <w:noProof/>
          <w:lang w:val="fr-FR"/>
        </w:rPr>
      </w:pPr>
      <w:r w:rsidRPr="006B620B">
        <w:rPr>
          <w:rStyle w:val="FootnoteReference"/>
          <w:rFonts w:ascii="Arial Narrow" w:hAnsi="Arial Narrow"/>
          <w:noProof/>
        </w:rPr>
        <w:footnoteRef/>
      </w:r>
      <w:r w:rsidRPr="003E224D">
        <w:rPr>
          <w:rFonts w:ascii="Arial Narrow" w:hAnsi="Arial Narrow"/>
          <w:noProof/>
          <w:lang w:val="fr-FR"/>
        </w:rPr>
        <w:t xml:space="preserve">. See Fr. </w:t>
      </w:r>
      <w:r w:rsidRPr="003E224D">
        <w:rPr>
          <w:rFonts w:ascii="Arial Narrow" w:hAnsi="Arial Narrow"/>
          <w:smallCaps/>
          <w:noProof/>
          <w:lang w:val="fr-FR"/>
        </w:rPr>
        <w:t>Dubuisson</w:t>
      </w:r>
      <w:r w:rsidRPr="003E224D">
        <w:rPr>
          <w:rFonts w:ascii="Arial Narrow" w:hAnsi="Arial Narrow"/>
          <w:noProof/>
          <w:lang w:val="fr-FR"/>
        </w:rPr>
        <w:t xml:space="preserve">, “La Cour européenne des droits de l’homme et la surveillance de masse”, </w:t>
      </w:r>
      <w:r w:rsidRPr="003E224D">
        <w:rPr>
          <w:rFonts w:ascii="Arial Narrow" w:hAnsi="Arial Narrow"/>
          <w:i/>
          <w:noProof/>
          <w:lang w:val="fr-FR"/>
        </w:rPr>
        <w:t>Rev. trim. dr. h.</w:t>
      </w:r>
      <w:r w:rsidR="008113A8">
        <w:rPr>
          <w:rFonts w:ascii="Arial Narrow" w:hAnsi="Arial Narrow"/>
          <w:noProof/>
          <w:lang w:val="fr-FR"/>
        </w:rPr>
        <w:t>, 2016, pp. </w:t>
      </w:r>
      <w:r w:rsidRPr="003E224D">
        <w:rPr>
          <w:rFonts w:ascii="Arial Narrow" w:hAnsi="Arial Narrow"/>
          <w:noProof/>
          <w:lang w:val="fr-FR"/>
        </w:rPr>
        <w:t xml:space="preserve">855 et seq. </w:t>
      </w:r>
    </w:p>
  </w:footnote>
  <w:footnote w:id="67">
    <w:p w14:paraId="55406D49" w14:textId="77777777" w:rsidR="007C736A" w:rsidRPr="006B620B" w:rsidRDefault="007C736A" w:rsidP="00895297">
      <w:pPr>
        <w:pStyle w:val="FootnoteText"/>
        <w:widowControl w:val="0"/>
        <w:jc w:val="both"/>
        <w:rPr>
          <w:rFonts w:ascii="Arial Narrow" w:hAnsi="Arial Narrow"/>
        </w:rPr>
      </w:pPr>
      <w:r w:rsidRPr="006B620B">
        <w:rPr>
          <w:rStyle w:val="FootnoteReference"/>
          <w:rFonts w:ascii="Arial Narrow" w:hAnsi="Arial Narrow"/>
        </w:rPr>
        <w:footnoteRef/>
      </w:r>
      <w:r w:rsidRPr="006B620B">
        <w:rPr>
          <w:rFonts w:ascii="Arial Narrow" w:hAnsi="Arial Narrow"/>
        </w:rPr>
        <w:t xml:space="preserve">. </w:t>
      </w:r>
      <w:r w:rsidRPr="00F24D0F">
        <w:rPr>
          <w:rFonts w:ascii="Arial Narrow" w:hAnsi="Arial Narrow"/>
          <w:i/>
        </w:rPr>
        <w:t>Mass surveillance</w:t>
      </w:r>
      <w:r w:rsidRPr="006B620B">
        <w:rPr>
          <w:rFonts w:ascii="Arial Narrow" w:hAnsi="Arial Narrow"/>
        </w:rPr>
        <w:t xml:space="preserve">, </w:t>
      </w:r>
      <w:r>
        <w:rPr>
          <w:rFonts w:ascii="Arial Narrow" w:hAnsi="Arial Narrow"/>
        </w:rPr>
        <w:t xml:space="preserve">Report of the </w:t>
      </w:r>
      <w:r w:rsidRPr="00F24D0F">
        <w:rPr>
          <w:rFonts w:ascii="Arial Narrow" w:hAnsi="Arial Narrow"/>
        </w:rPr>
        <w:t>Committee on Legal Affairs and Human Rights</w:t>
      </w:r>
      <w:r>
        <w:rPr>
          <w:rFonts w:ascii="Arial Narrow" w:hAnsi="Arial Narrow"/>
        </w:rPr>
        <w:t xml:space="preserve"> of the Council of Europe Parliamentary Assembly (rapporteur</w:t>
      </w:r>
      <w:r w:rsidRPr="006B620B">
        <w:rPr>
          <w:rFonts w:ascii="Arial Narrow" w:hAnsi="Arial Narrow"/>
        </w:rPr>
        <w:t xml:space="preserve">: P. Omtzigt), doc. 13734, 18 </w:t>
      </w:r>
      <w:r>
        <w:rPr>
          <w:rFonts w:ascii="Arial Narrow" w:hAnsi="Arial Narrow"/>
        </w:rPr>
        <w:t xml:space="preserve">March </w:t>
      </w:r>
      <w:r w:rsidRPr="006B620B">
        <w:rPr>
          <w:rFonts w:ascii="Arial Narrow" w:hAnsi="Arial Narrow"/>
        </w:rPr>
        <w:t>2015.</w:t>
      </w:r>
    </w:p>
  </w:footnote>
  <w:footnote w:id="68">
    <w:p w14:paraId="23AD6B74" w14:textId="77777777" w:rsidR="007C736A" w:rsidRPr="006B620B" w:rsidRDefault="007C736A" w:rsidP="00895297">
      <w:pPr>
        <w:pStyle w:val="FootnoteText"/>
        <w:widowControl w:val="0"/>
        <w:jc w:val="both"/>
        <w:rPr>
          <w:rFonts w:ascii="Arial Narrow" w:hAnsi="Arial Narrow"/>
        </w:rPr>
      </w:pPr>
      <w:r w:rsidRPr="006B620B">
        <w:rPr>
          <w:rStyle w:val="FootnoteReference"/>
          <w:rFonts w:ascii="Arial Narrow" w:hAnsi="Arial Narrow"/>
        </w:rPr>
        <w:footnoteRef/>
      </w:r>
      <w:r w:rsidRPr="006B620B">
        <w:rPr>
          <w:rFonts w:ascii="Arial Narrow" w:hAnsi="Arial Narrow"/>
        </w:rPr>
        <w:t xml:space="preserve">. </w:t>
      </w:r>
      <w:r>
        <w:rPr>
          <w:rFonts w:ascii="Arial Narrow" w:hAnsi="Arial Narrow" w:cs="Arabic Typesetting"/>
          <w:noProof/>
        </w:rPr>
        <w:t>ECtHR</w:t>
      </w:r>
      <w:r>
        <w:rPr>
          <w:rFonts w:ascii="Arial Narrow" w:hAnsi="Arial Narrow"/>
        </w:rPr>
        <w:t xml:space="preserve">, </w:t>
      </w:r>
      <w:r w:rsidRPr="006B620B">
        <w:rPr>
          <w:rFonts w:ascii="Arial Narrow" w:hAnsi="Arial Narrow"/>
          <w:i/>
        </w:rPr>
        <w:t xml:space="preserve">Szabo </w:t>
      </w:r>
      <w:r>
        <w:rPr>
          <w:rFonts w:ascii="Arial Narrow" w:hAnsi="Arial Narrow"/>
          <w:i/>
        </w:rPr>
        <w:t>and Vissy v</w:t>
      </w:r>
      <w:r w:rsidRPr="006B620B">
        <w:rPr>
          <w:rFonts w:ascii="Arial Narrow" w:hAnsi="Arial Narrow"/>
          <w:i/>
        </w:rPr>
        <w:t>. H</w:t>
      </w:r>
      <w:r>
        <w:rPr>
          <w:rFonts w:ascii="Arial Narrow" w:hAnsi="Arial Narrow"/>
          <w:i/>
        </w:rPr>
        <w:t>ungary</w:t>
      </w:r>
      <w:r>
        <w:rPr>
          <w:rFonts w:ascii="Arial Narrow" w:hAnsi="Arial Narrow"/>
        </w:rPr>
        <w:t xml:space="preserve"> judgment of</w:t>
      </w:r>
      <w:r w:rsidRPr="006B620B">
        <w:rPr>
          <w:rFonts w:ascii="Arial Narrow" w:hAnsi="Arial Narrow"/>
        </w:rPr>
        <w:t xml:space="preserve"> 12 </w:t>
      </w:r>
      <w:r>
        <w:rPr>
          <w:rFonts w:ascii="Arial Narrow" w:hAnsi="Arial Narrow"/>
        </w:rPr>
        <w:t xml:space="preserve">January </w:t>
      </w:r>
      <w:r w:rsidRPr="006B620B">
        <w:rPr>
          <w:rFonts w:ascii="Arial Narrow" w:hAnsi="Arial Narrow"/>
        </w:rPr>
        <w:t>2016, §§ 69-70.</w:t>
      </w:r>
    </w:p>
  </w:footnote>
  <w:footnote w:id="69">
    <w:p w14:paraId="4F000420" w14:textId="77777777" w:rsidR="007C736A" w:rsidRPr="006B620B" w:rsidRDefault="007C736A" w:rsidP="00895297">
      <w:pPr>
        <w:pStyle w:val="FootnoteText"/>
        <w:widowControl w:val="0"/>
        <w:jc w:val="both"/>
        <w:rPr>
          <w:rFonts w:ascii="Arial Narrow" w:hAnsi="Arial Narrow"/>
        </w:rPr>
      </w:pPr>
      <w:r w:rsidRPr="006B620B">
        <w:rPr>
          <w:rStyle w:val="FootnoteReference"/>
          <w:rFonts w:ascii="Arial Narrow" w:hAnsi="Arial Narrow"/>
        </w:rPr>
        <w:footnoteRef/>
      </w:r>
      <w:r w:rsidRPr="006B620B">
        <w:rPr>
          <w:rFonts w:ascii="Arial Narrow" w:hAnsi="Arial Narrow"/>
        </w:rPr>
        <w:t>. CJ</w:t>
      </w:r>
      <w:r>
        <w:rPr>
          <w:rFonts w:ascii="Arial Narrow" w:hAnsi="Arial Narrow"/>
        </w:rPr>
        <w:t>EU</w:t>
      </w:r>
      <w:r w:rsidRPr="006B620B">
        <w:rPr>
          <w:rFonts w:ascii="Arial Narrow" w:hAnsi="Arial Narrow"/>
        </w:rPr>
        <w:t xml:space="preserve"> (GC), </w:t>
      </w:r>
      <w:r w:rsidRPr="006B620B">
        <w:rPr>
          <w:rFonts w:ascii="Arial Narrow" w:hAnsi="Arial Narrow"/>
          <w:i/>
        </w:rPr>
        <w:t xml:space="preserve">Digital Rights Ireland Ltd </w:t>
      </w:r>
      <w:r>
        <w:rPr>
          <w:rFonts w:ascii="Arial Narrow" w:hAnsi="Arial Narrow"/>
          <w:i/>
        </w:rPr>
        <w:t>v.</w:t>
      </w:r>
      <w:r w:rsidRPr="006B620B">
        <w:rPr>
          <w:rFonts w:ascii="Arial Narrow" w:hAnsi="Arial Narrow"/>
          <w:i/>
        </w:rPr>
        <w:t xml:space="preserve"> Minister for Communications, Marine and Natural Resources </w:t>
      </w:r>
      <w:r>
        <w:rPr>
          <w:rFonts w:ascii="Arial Narrow" w:hAnsi="Arial Narrow"/>
          <w:i/>
        </w:rPr>
        <w:t xml:space="preserve">and Others and </w:t>
      </w:r>
      <w:r w:rsidRPr="006B620B">
        <w:rPr>
          <w:rFonts w:ascii="Arial Narrow" w:hAnsi="Arial Narrow"/>
          <w:i/>
        </w:rPr>
        <w:t xml:space="preserve">Kärntner Landesregierung </w:t>
      </w:r>
      <w:r>
        <w:rPr>
          <w:rFonts w:ascii="Arial Narrow" w:hAnsi="Arial Narrow"/>
          <w:i/>
        </w:rPr>
        <w:t>and Others</w:t>
      </w:r>
      <w:r w:rsidRPr="006B620B">
        <w:rPr>
          <w:rFonts w:ascii="Arial Narrow" w:hAnsi="Arial Narrow"/>
        </w:rPr>
        <w:t xml:space="preserve"> </w:t>
      </w:r>
      <w:r>
        <w:rPr>
          <w:rFonts w:ascii="Arial Narrow" w:hAnsi="Arial Narrow"/>
        </w:rPr>
        <w:t>judgment of 8 Ap</w:t>
      </w:r>
      <w:r w:rsidRPr="006B620B">
        <w:rPr>
          <w:rFonts w:ascii="Arial Narrow" w:hAnsi="Arial Narrow"/>
        </w:rPr>
        <w:t xml:space="preserve">ril 2014, </w:t>
      </w:r>
      <w:r>
        <w:rPr>
          <w:rFonts w:ascii="Arial Narrow" w:hAnsi="Arial Narrow"/>
        </w:rPr>
        <w:t>joined cases C-293/12 et C-594/12</w:t>
      </w:r>
      <w:r w:rsidRPr="006B620B">
        <w:rPr>
          <w:rFonts w:ascii="Arial Narrow" w:hAnsi="Arial Narrow"/>
        </w:rPr>
        <w:t>; CJ</w:t>
      </w:r>
      <w:r>
        <w:rPr>
          <w:rFonts w:ascii="Arial Narrow" w:hAnsi="Arial Narrow"/>
        </w:rPr>
        <w:t>EU</w:t>
      </w:r>
      <w:r w:rsidRPr="006B620B">
        <w:rPr>
          <w:rFonts w:ascii="Arial Narrow" w:hAnsi="Arial Narrow"/>
        </w:rPr>
        <w:t xml:space="preserve"> (GC), </w:t>
      </w:r>
      <w:r w:rsidRPr="006B620B">
        <w:rPr>
          <w:rFonts w:ascii="Arial Narrow" w:hAnsi="Arial Narrow"/>
          <w:i/>
        </w:rPr>
        <w:t xml:space="preserve">Maximillian Schrems </w:t>
      </w:r>
      <w:r>
        <w:rPr>
          <w:rFonts w:ascii="Arial Narrow" w:hAnsi="Arial Narrow"/>
          <w:i/>
        </w:rPr>
        <w:t>v</w:t>
      </w:r>
      <w:r w:rsidRPr="006B620B">
        <w:rPr>
          <w:rFonts w:ascii="Arial Narrow" w:hAnsi="Arial Narrow"/>
          <w:i/>
        </w:rPr>
        <w:t>. Data Protection Commissioner</w:t>
      </w:r>
      <w:r w:rsidRPr="006B620B">
        <w:rPr>
          <w:rFonts w:ascii="Arial Narrow" w:hAnsi="Arial Narrow"/>
        </w:rPr>
        <w:t xml:space="preserve"> </w:t>
      </w:r>
      <w:r>
        <w:rPr>
          <w:rFonts w:ascii="Arial Narrow" w:hAnsi="Arial Narrow"/>
        </w:rPr>
        <w:t>judgment of</w:t>
      </w:r>
      <w:r w:rsidRPr="006B620B">
        <w:rPr>
          <w:rFonts w:ascii="Arial Narrow" w:hAnsi="Arial Narrow"/>
        </w:rPr>
        <w:t xml:space="preserve"> 6 </w:t>
      </w:r>
      <w:r>
        <w:rPr>
          <w:rFonts w:ascii="Arial Narrow" w:hAnsi="Arial Narrow"/>
        </w:rPr>
        <w:t>October</w:t>
      </w:r>
      <w:r w:rsidRPr="006B620B">
        <w:rPr>
          <w:rFonts w:ascii="Arial Narrow" w:hAnsi="Arial Narrow"/>
        </w:rPr>
        <w:t xml:space="preserve"> 2015, </w:t>
      </w:r>
      <w:r>
        <w:rPr>
          <w:rFonts w:ascii="Arial Narrow" w:hAnsi="Arial Narrow"/>
        </w:rPr>
        <w:t>case</w:t>
      </w:r>
      <w:r w:rsidRPr="006B620B">
        <w:rPr>
          <w:rFonts w:ascii="Arial Narrow" w:hAnsi="Arial Narrow"/>
        </w:rPr>
        <w:t xml:space="preserve"> C-362/14.</w:t>
      </w:r>
    </w:p>
  </w:footnote>
  <w:footnote w:id="70">
    <w:p w14:paraId="4EAB284D" w14:textId="77777777" w:rsidR="007C736A" w:rsidRPr="003E224D" w:rsidRDefault="007C736A" w:rsidP="00895297">
      <w:pPr>
        <w:pStyle w:val="FootnoteText"/>
        <w:widowControl w:val="0"/>
        <w:jc w:val="both"/>
        <w:rPr>
          <w:rFonts w:ascii="Arial Narrow" w:hAnsi="Arial Narrow"/>
          <w:lang w:val="fr-FR"/>
        </w:rPr>
      </w:pPr>
      <w:r w:rsidRPr="006B620B">
        <w:rPr>
          <w:rStyle w:val="FootnoteReference"/>
          <w:rFonts w:ascii="Arial Narrow" w:hAnsi="Arial Narrow"/>
        </w:rPr>
        <w:footnoteRef/>
      </w:r>
      <w:r w:rsidRPr="006B620B">
        <w:rPr>
          <w:rFonts w:ascii="Arial Narrow" w:hAnsi="Arial Narrow"/>
        </w:rPr>
        <w:t xml:space="preserve">. Report of the Special Rapporteur on the promotion and protection of human rights and fundamental freedoms while countering terrorism, doc. </w:t>
      </w:r>
      <w:r w:rsidRPr="003E224D">
        <w:rPr>
          <w:rFonts w:ascii="Arial Narrow" w:hAnsi="Arial Narrow"/>
          <w:lang w:val="fr-FR"/>
        </w:rPr>
        <w:t>A/71/384, 13 September 2016.</w:t>
      </w:r>
    </w:p>
  </w:footnote>
  <w:footnote w:id="71">
    <w:p w14:paraId="1735E24C" w14:textId="77777777" w:rsidR="007C736A" w:rsidRPr="003E224D" w:rsidRDefault="007C736A" w:rsidP="00895297">
      <w:pPr>
        <w:pStyle w:val="FootnoteText"/>
        <w:widowControl w:val="0"/>
        <w:tabs>
          <w:tab w:val="left" w:pos="284"/>
        </w:tabs>
        <w:jc w:val="both"/>
        <w:rPr>
          <w:rFonts w:ascii="Arial Narrow" w:hAnsi="Arial Narrow"/>
          <w:lang w:val="fr-FR"/>
        </w:rPr>
      </w:pPr>
      <w:r w:rsidRPr="006B620B">
        <w:rPr>
          <w:rStyle w:val="FootnoteReference"/>
          <w:rFonts w:ascii="Arial Narrow" w:hAnsi="Arial Narrow"/>
        </w:rPr>
        <w:footnoteRef/>
      </w:r>
      <w:r w:rsidRPr="003E224D">
        <w:rPr>
          <w:rFonts w:ascii="Arial Narrow" w:hAnsi="Arial Narrow"/>
          <w:lang w:val="fr-FR"/>
        </w:rPr>
        <w:t xml:space="preserve">. </w:t>
      </w:r>
      <w:r w:rsidRPr="003E224D">
        <w:rPr>
          <w:rFonts w:ascii="Arial Narrow" w:hAnsi="Arial Narrow"/>
          <w:noProof/>
          <w:lang w:val="fr-FR"/>
        </w:rPr>
        <w:t xml:space="preserve">G. </w:t>
      </w:r>
      <w:r w:rsidRPr="003E224D">
        <w:rPr>
          <w:rFonts w:ascii="Arial Narrow" w:hAnsi="Arial Narrow"/>
          <w:smallCaps/>
          <w:lang w:val="fr-FR"/>
        </w:rPr>
        <w:t>Agamben</w:t>
      </w:r>
      <w:r w:rsidRPr="003E224D">
        <w:rPr>
          <w:rFonts w:ascii="Arial Narrow" w:hAnsi="Arial Narrow"/>
          <w:lang w:val="fr-FR"/>
        </w:rPr>
        <w:t xml:space="preserve">, “De l’Etat de droit à l’Etat de sécurité”, </w:t>
      </w:r>
      <w:r w:rsidRPr="003E224D">
        <w:rPr>
          <w:rFonts w:ascii="Arial Narrow" w:hAnsi="Arial Narrow"/>
          <w:i/>
          <w:lang w:val="fr-FR"/>
        </w:rPr>
        <w:t>op. cit.</w:t>
      </w:r>
    </w:p>
  </w:footnote>
  <w:footnote w:id="72">
    <w:p w14:paraId="09374CAA" w14:textId="77777777" w:rsidR="007C736A" w:rsidRPr="006B620B" w:rsidRDefault="007C736A" w:rsidP="00895297">
      <w:pPr>
        <w:pStyle w:val="FootnoteText"/>
        <w:widowControl w:val="0"/>
        <w:tabs>
          <w:tab w:val="left" w:pos="284"/>
        </w:tabs>
        <w:jc w:val="both"/>
        <w:rPr>
          <w:rFonts w:ascii="Arial Narrow" w:hAnsi="Arial Narrow"/>
        </w:rPr>
      </w:pPr>
      <w:r w:rsidRPr="006B620B">
        <w:rPr>
          <w:rStyle w:val="FootnoteReference"/>
          <w:rFonts w:ascii="Arial Narrow" w:hAnsi="Arial Narrow"/>
        </w:rPr>
        <w:footnoteRef/>
      </w:r>
      <w:r w:rsidRPr="006B620B">
        <w:rPr>
          <w:rFonts w:ascii="Arial Narrow" w:hAnsi="Arial Narrow"/>
        </w:rPr>
        <w:t>. J.</w:t>
      </w:r>
      <w:r w:rsidRPr="006B620B">
        <w:rPr>
          <w:rFonts w:ascii="Arial Narrow" w:hAnsi="Arial Narrow"/>
          <w:smallCaps/>
        </w:rPr>
        <w:t xml:space="preserve"> Habermas</w:t>
      </w:r>
      <w:r w:rsidRPr="006B620B">
        <w:rPr>
          <w:rFonts w:ascii="Arial Narrow" w:hAnsi="Arial Narrow"/>
        </w:rPr>
        <w:t xml:space="preserve">, </w:t>
      </w:r>
      <w:r w:rsidRPr="00BE1907">
        <w:rPr>
          <w:rFonts w:ascii="Arial Narrow" w:hAnsi="Arial Narrow"/>
          <w:i/>
        </w:rPr>
        <w:t>The Crisis of the European Union: A Response</w:t>
      </w:r>
      <w:r w:rsidRPr="00BE1907">
        <w:rPr>
          <w:rFonts w:ascii="Arial Narrow" w:hAnsi="Arial Narrow"/>
        </w:rPr>
        <w:t>, Ciaran Cronin (tr.), Cambridge, Polity Press, 2012, pp. 71 et seq.</w:t>
      </w:r>
    </w:p>
  </w:footnote>
  <w:footnote w:id="73">
    <w:p w14:paraId="2984BB13" w14:textId="77777777" w:rsidR="007C736A" w:rsidRPr="006B620B" w:rsidRDefault="007C736A" w:rsidP="00895297">
      <w:pPr>
        <w:pStyle w:val="FootnoteText"/>
        <w:widowControl w:val="0"/>
        <w:tabs>
          <w:tab w:val="left" w:pos="284"/>
        </w:tabs>
        <w:jc w:val="both"/>
        <w:rPr>
          <w:rFonts w:ascii="Arial Narrow" w:hAnsi="Arial Narrow"/>
        </w:rPr>
      </w:pPr>
      <w:r w:rsidRPr="006B620B">
        <w:rPr>
          <w:rStyle w:val="FootnoteReference"/>
          <w:rFonts w:ascii="Arial Narrow" w:hAnsi="Arial Narrow"/>
        </w:rPr>
        <w:footnoteRef/>
      </w:r>
      <w:r w:rsidRPr="006B620B">
        <w:rPr>
          <w:rFonts w:ascii="Arial Narrow" w:hAnsi="Arial Narrow"/>
        </w:rPr>
        <w:t xml:space="preserve">. </w:t>
      </w:r>
      <w:r w:rsidRPr="00FA2247">
        <w:rPr>
          <w:rFonts w:ascii="Arial Narrow" w:hAnsi="Arial Narrow"/>
          <w:i/>
        </w:rPr>
        <w:t>Ibid</w:t>
      </w:r>
      <w:r w:rsidRPr="00BE1907">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07D1" w14:textId="365ECA80" w:rsidR="003F0F2F" w:rsidRPr="00276229" w:rsidRDefault="0067306D" w:rsidP="002F0995">
    <w:pPr>
      <w:pStyle w:val="Header"/>
      <w:jc w:val="right"/>
      <w:rPr>
        <w:rFonts w:ascii="Arial Narrow" w:hAnsi="Arial Narrow"/>
        <w:sz w:val="20"/>
        <w:lang w:val="fr-FR"/>
      </w:rPr>
    </w:pPr>
    <w:r>
      <w:rPr>
        <w:rFonts w:ascii="Arial Narrow" w:hAnsi="Arial Narrow"/>
        <w:sz w:val="20"/>
        <w:lang w:val="fr-FR"/>
      </w:rPr>
      <w:t xml:space="preserve">final </w:t>
    </w:r>
    <w:r w:rsidR="0029056B">
      <w:rPr>
        <w:rFonts w:ascii="Arial Narrow" w:hAnsi="Arial Narrow"/>
        <w:sz w:val="20"/>
        <w:lang w:val="fr-FR"/>
      </w:rPr>
      <w:t xml:space="preserve">(long) – </w:t>
    </w:r>
    <w:r w:rsidR="006E58A3">
      <w:rPr>
        <w:rFonts w:ascii="Arial Narrow" w:hAnsi="Arial Narrow"/>
        <w:sz w:val="20"/>
        <w:lang w:val="fr-FR"/>
      </w:rPr>
      <w:t>01.12.2016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E34DB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A0864"/>
    <w:multiLevelType w:val="hybridMultilevel"/>
    <w:tmpl w:val="01EACBD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65062D4"/>
    <w:multiLevelType w:val="hybridMultilevel"/>
    <w:tmpl w:val="BA2C9C64"/>
    <w:lvl w:ilvl="0" w:tplc="2FC4EF30">
      <w:start w:val="1"/>
      <w:numFmt w:val="upperLetter"/>
      <w:lvlText w:val="%1."/>
      <w:lvlJc w:val="left"/>
      <w:pPr>
        <w:ind w:left="1000" w:hanging="4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 w15:restartNumberingAfterBreak="0">
    <w:nsid w:val="08914D67"/>
    <w:multiLevelType w:val="hybridMultilevel"/>
    <w:tmpl w:val="609CD7E8"/>
    <w:lvl w:ilvl="0" w:tplc="16422770">
      <w:start w:val="1"/>
      <w:numFmt w:val="bullet"/>
      <w:lvlText w:val=""/>
      <w:lvlJc w:val="left"/>
      <w:pPr>
        <w:tabs>
          <w:tab w:val="num" w:pos="3240"/>
        </w:tabs>
        <w:ind w:left="3240" w:hanging="360"/>
      </w:pPr>
      <w:rPr>
        <w:rFonts w:ascii="Symbol" w:hAnsi="Symbol" w:hint="default"/>
        <w:sz w:val="22"/>
      </w:rPr>
    </w:lvl>
    <w:lvl w:ilvl="1" w:tplc="16422770">
      <w:start w:val="1"/>
      <w:numFmt w:val="bullet"/>
      <w:lvlText w:val=""/>
      <w:lvlJc w:val="left"/>
      <w:pPr>
        <w:tabs>
          <w:tab w:val="num" w:pos="2520"/>
        </w:tabs>
        <w:ind w:left="2520" w:hanging="360"/>
      </w:pPr>
      <w:rPr>
        <w:rFonts w:ascii="Symbol" w:hAnsi="Symbol" w:hint="default"/>
        <w:sz w:val="22"/>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8C81F9E"/>
    <w:multiLevelType w:val="hybridMultilevel"/>
    <w:tmpl w:val="5106DE12"/>
    <w:lvl w:ilvl="0" w:tplc="B25E3D8E">
      <w:start w:val="1"/>
      <w:numFmt w:val="bullet"/>
      <w:lvlText w:val=""/>
      <w:lvlJc w:val="left"/>
      <w:pPr>
        <w:tabs>
          <w:tab w:val="num" w:pos="3060"/>
        </w:tabs>
        <w:ind w:left="3060" w:hanging="360"/>
      </w:pPr>
      <w:rPr>
        <w:rFonts w:ascii="Symbol" w:hAnsi="Symbol" w:hint="default"/>
        <w:sz w:val="22"/>
      </w:rPr>
    </w:lvl>
    <w:lvl w:ilvl="1" w:tplc="08090003">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FC0C80"/>
    <w:multiLevelType w:val="hybridMultilevel"/>
    <w:tmpl w:val="7E10C21A"/>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6" w15:restartNumberingAfterBreak="0">
    <w:nsid w:val="16526A32"/>
    <w:multiLevelType w:val="hybridMultilevel"/>
    <w:tmpl w:val="97B69A5C"/>
    <w:lvl w:ilvl="0" w:tplc="B25E3D8E">
      <w:start w:val="1"/>
      <w:numFmt w:val="bullet"/>
      <w:lvlText w:val=""/>
      <w:lvlJc w:val="left"/>
      <w:pPr>
        <w:tabs>
          <w:tab w:val="num" w:pos="3060"/>
        </w:tabs>
        <w:ind w:left="3060" w:hanging="360"/>
      </w:pPr>
      <w:rPr>
        <w:rFonts w:ascii="Symbol" w:hAnsi="Symbol" w:hint="default"/>
        <w:sz w:val="22"/>
      </w:rPr>
    </w:lvl>
    <w:lvl w:ilvl="1" w:tplc="B25E3D8E">
      <w:start w:val="1"/>
      <w:numFmt w:val="bullet"/>
      <w:lvlText w:val=""/>
      <w:lvlJc w:val="left"/>
      <w:pPr>
        <w:tabs>
          <w:tab w:val="num" w:pos="2160"/>
        </w:tabs>
        <w:ind w:left="2160" w:hanging="360"/>
      </w:pPr>
      <w:rPr>
        <w:rFonts w:ascii="Symbol" w:hAnsi="Symbol" w:hint="default"/>
        <w:sz w:val="22"/>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C745E9"/>
    <w:multiLevelType w:val="hybridMultilevel"/>
    <w:tmpl w:val="849CDEE4"/>
    <w:lvl w:ilvl="0" w:tplc="B240CF32">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8" w15:restartNumberingAfterBreak="0">
    <w:nsid w:val="19C0064F"/>
    <w:multiLevelType w:val="hybridMultilevel"/>
    <w:tmpl w:val="7D54683E"/>
    <w:lvl w:ilvl="0" w:tplc="B25E3D8E">
      <w:start w:val="1"/>
      <w:numFmt w:val="bullet"/>
      <w:lvlText w:val=""/>
      <w:lvlJc w:val="left"/>
      <w:pPr>
        <w:tabs>
          <w:tab w:val="num" w:pos="2340"/>
        </w:tabs>
        <w:ind w:left="234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27D4C"/>
    <w:multiLevelType w:val="multilevel"/>
    <w:tmpl w:val="B3F079D8"/>
    <w:lvl w:ilvl="0">
      <w:start w:val="1"/>
      <w:numFmt w:val="bullet"/>
      <w:lvlText w:val=""/>
      <w:lvlJc w:val="left"/>
      <w:pPr>
        <w:tabs>
          <w:tab w:val="num" w:pos="3060"/>
        </w:tabs>
        <w:ind w:left="3060" w:hanging="360"/>
      </w:pPr>
      <w:rPr>
        <w:rFonts w:ascii="Symbol" w:hAnsi="Symbol" w:hint="default"/>
        <w:sz w:val="22"/>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1655F67"/>
    <w:multiLevelType w:val="hybridMultilevel"/>
    <w:tmpl w:val="63E23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8D4CBC"/>
    <w:multiLevelType w:val="hybridMultilevel"/>
    <w:tmpl w:val="04D80C4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2862021A"/>
    <w:multiLevelType w:val="hybridMultilevel"/>
    <w:tmpl w:val="B3F079D8"/>
    <w:lvl w:ilvl="0" w:tplc="B25E3D8E">
      <w:start w:val="1"/>
      <w:numFmt w:val="bullet"/>
      <w:lvlText w:val=""/>
      <w:lvlJc w:val="left"/>
      <w:pPr>
        <w:tabs>
          <w:tab w:val="num" w:pos="3060"/>
        </w:tabs>
        <w:ind w:left="3060" w:hanging="360"/>
      </w:pPr>
      <w:rPr>
        <w:rFonts w:ascii="Symbol" w:hAnsi="Symbol" w:hint="default"/>
        <w:sz w:val="22"/>
      </w:rPr>
    </w:lvl>
    <w:lvl w:ilvl="1" w:tplc="08090003">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FA2DC5"/>
    <w:multiLevelType w:val="hybridMultilevel"/>
    <w:tmpl w:val="18166D20"/>
    <w:lvl w:ilvl="0" w:tplc="22D6BF86">
      <w:numFmt w:val="bullet"/>
      <w:lvlText w:val="-"/>
      <w:lvlJc w:val="left"/>
      <w:pPr>
        <w:ind w:left="1080" w:hanging="360"/>
      </w:pPr>
      <w:rPr>
        <w:rFonts w:ascii="Arial Narrow" w:eastAsia="Times New Roman" w:hAnsi="Arial Narrow"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E63403D"/>
    <w:multiLevelType w:val="hybridMultilevel"/>
    <w:tmpl w:val="44607FC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65C38D1"/>
    <w:multiLevelType w:val="hybridMultilevel"/>
    <w:tmpl w:val="D012C47A"/>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6" w15:restartNumberingAfterBreak="0">
    <w:nsid w:val="41314760"/>
    <w:multiLevelType w:val="hybridMultilevel"/>
    <w:tmpl w:val="FC8AEFFC"/>
    <w:lvl w:ilvl="0" w:tplc="22D6BF86">
      <w:numFmt w:val="bullet"/>
      <w:lvlText w:val="-"/>
      <w:lvlJc w:val="left"/>
      <w:pPr>
        <w:ind w:left="1653" w:hanging="360"/>
      </w:pPr>
      <w:rPr>
        <w:rFonts w:ascii="Arial Narrow" w:eastAsia="Times New Roman" w:hAnsi="Arial Narrow" w:cs="Times New Roman" w:hint="default"/>
      </w:rPr>
    </w:lvl>
    <w:lvl w:ilvl="1" w:tplc="040C0003" w:tentative="1">
      <w:start w:val="1"/>
      <w:numFmt w:val="bullet"/>
      <w:lvlText w:val="o"/>
      <w:lvlJc w:val="left"/>
      <w:pPr>
        <w:ind w:left="2013" w:hanging="360"/>
      </w:pPr>
      <w:rPr>
        <w:rFonts w:ascii="Courier New" w:hAnsi="Courier New" w:hint="default"/>
      </w:rPr>
    </w:lvl>
    <w:lvl w:ilvl="2" w:tplc="040C0005" w:tentative="1">
      <w:start w:val="1"/>
      <w:numFmt w:val="bullet"/>
      <w:lvlText w:val=""/>
      <w:lvlJc w:val="left"/>
      <w:pPr>
        <w:ind w:left="2733" w:hanging="360"/>
      </w:pPr>
      <w:rPr>
        <w:rFonts w:ascii="Wingdings" w:hAnsi="Wingdings" w:hint="default"/>
      </w:rPr>
    </w:lvl>
    <w:lvl w:ilvl="3" w:tplc="040C0001" w:tentative="1">
      <w:start w:val="1"/>
      <w:numFmt w:val="bullet"/>
      <w:lvlText w:val=""/>
      <w:lvlJc w:val="left"/>
      <w:pPr>
        <w:ind w:left="3453" w:hanging="360"/>
      </w:pPr>
      <w:rPr>
        <w:rFonts w:ascii="Symbol" w:hAnsi="Symbol" w:hint="default"/>
      </w:rPr>
    </w:lvl>
    <w:lvl w:ilvl="4" w:tplc="040C0003" w:tentative="1">
      <w:start w:val="1"/>
      <w:numFmt w:val="bullet"/>
      <w:lvlText w:val="o"/>
      <w:lvlJc w:val="left"/>
      <w:pPr>
        <w:ind w:left="4173" w:hanging="360"/>
      </w:pPr>
      <w:rPr>
        <w:rFonts w:ascii="Courier New" w:hAnsi="Courier New" w:hint="default"/>
      </w:rPr>
    </w:lvl>
    <w:lvl w:ilvl="5" w:tplc="040C0005" w:tentative="1">
      <w:start w:val="1"/>
      <w:numFmt w:val="bullet"/>
      <w:lvlText w:val=""/>
      <w:lvlJc w:val="left"/>
      <w:pPr>
        <w:ind w:left="4893" w:hanging="360"/>
      </w:pPr>
      <w:rPr>
        <w:rFonts w:ascii="Wingdings" w:hAnsi="Wingdings" w:hint="default"/>
      </w:rPr>
    </w:lvl>
    <w:lvl w:ilvl="6" w:tplc="040C0001" w:tentative="1">
      <w:start w:val="1"/>
      <w:numFmt w:val="bullet"/>
      <w:lvlText w:val=""/>
      <w:lvlJc w:val="left"/>
      <w:pPr>
        <w:ind w:left="5613" w:hanging="360"/>
      </w:pPr>
      <w:rPr>
        <w:rFonts w:ascii="Symbol" w:hAnsi="Symbol" w:hint="default"/>
      </w:rPr>
    </w:lvl>
    <w:lvl w:ilvl="7" w:tplc="040C0003" w:tentative="1">
      <w:start w:val="1"/>
      <w:numFmt w:val="bullet"/>
      <w:lvlText w:val="o"/>
      <w:lvlJc w:val="left"/>
      <w:pPr>
        <w:ind w:left="6333" w:hanging="360"/>
      </w:pPr>
      <w:rPr>
        <w:rFonts w:ascii="Courier New" w:hAnsi="Courier New" w:hint="default"/>
      </w:rPr>
    </w:lvl>
    <w:lvl w:ilvl="8" w:tplc="040C0005" w:tentative="1">
      <w:start w:val="1"/>
      <w:numFmt w:val="bullet"/>
      <w:lvlText w:val=""/>
      <w:lvlJc w:val="left"/>
      <w:pPr>
        <w:ind w:left="7053" w:hanging="360"/>
      </w:pPr>
      <w:rPr>
        <w:rFonts w:ascii="Wingdings" w:hAnsi="Wingdings" w:hint="default"/>
      </w:rPr>
    </w:lvl>
  </w:abstractNum>
  <w:abstractNum w:abstractNumId="17" w15:restartNumberingAfterBreak="0">
    <w:nsid w:val="489247A3"/>
    <w:multiLevelType w:val="multilevel"/>
    <w:tmpl w:val="5106DE12"/>
    <w:lvl w:ilvl="0">
      <w:start w:val="1"/>
      <w:numFmt w:val="bullet"/>
      <w:lvlText w:val=""/>
      <w:lvlJc w:val="left"/>
      <w:pPr>
        <w:tabs>
          <w:tab w:val="num" w:pos="3060"/>
        </w:tabs>
        <w:ind w:left="3060" w:hanging="360"/>
      </w:pPr>
      <w:rPr>
        <w:rFonts w:ascii="Symbol" w:hAnsi="Symbol" w:hint="default"/>
        <w:sz w:val="22"/>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C7F5F42"/>
    <w:multiLevelType w:val="hybridMultilevel"/>
    <w:tmpl w:val="C6AC4724"/>
    <w:lvl w:ilvl="0" w:tplc="040C0001">
      <w:start w:val="1"/>
      <w:numFmt w:val="bullet"/>
      <w:lvlText w:val=""/>
      <w:lvlJc w:val="left"/>
      <w:pPr>
        <w:ind w:left="1267" w:hanging="360"/>
      </w:pPr>
      <w:rPr>
        <w:rFonts w:ascii="Symbol" w:hAnsi="Symbol" w:hint="default"/>
      </w:rPr>
    </w:lvl>
    <w:lvl w:ilvl="1" w:tplc="040C0003" w:tentative="1">
      <w:start w:val="1"/>
      <w:numFmt w:val="bullet"/>
      <w:lvlText w:val="o"/>
      <w:lvlJc w:val="left"/>
      <w:pPr>
        <w:ind w:left="1987" w:hanging="360"/>
      </w:pPr>
      <w:rPr>
        <w:rFonts w:ascii="Courier New" w:hAnsi="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19" w15:restartNumberingAfterBreak="0">
    <w:nsid w:val="50E64CF8"/>
    <w:multiLevelType w:val="hybridMultilevel"/>
    <w:tmpl w:val="193C817E"/>
    <w:lvl w:ilvl="0" w:tplc="040C0001">
      <w:start w:val="1"/>
      <w:numFmt w:val="bullet"/>
      <w:lvlText w:val=""/>
      <w:lvlJc w:val="left"/>
      <w:pPr>
        <w:ind w:left="1267" w:hanging="360"/>
      </w:pPr>
      <w:rPr>
        <w:rFonts w:ascii="Symbol" w:hAnsi="Symbol" w:hint="default"/>
      </w:rPr>
    </w:lvl>
    <w:lvl w:ilvl="1" w:tplc="040C0003" w:tentative="1">
      <w:start w:val="1"/>
      <w:numFmt w:val="bullet"/>
      <w:lvlText w:val="o"/>
      <w:lvlJc w:val="left"/>
      <w:pPr>
        <w:ind w:left="1987" w:hanging="360"/>
      </w:pPr>
      <w:rPr>
        <w:rFonts w:ascii="Courier New" w:hAnsi="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20" w15:restartNumberingAfterBreak="0">
    <w:nsid w:val="51917643"/>
    <w:multiLevelType w:val="hybridMultilevel"/>
    <w:tmpl w:val="7CB4773E"/>
    <w:lvl w:ilvl="0" w:tplc="B25E3D8E">
      <w:start w:val="1"/>
      <w:numFmt w:val="bullet"/>
      <w:lvlText w:val=""/>
      <w:lvlJc w:val="left"/>
      <w:pPr>
        <w:tabs>
          <w:tab w:val="num" w:pos="1788"/>
        </w:tabs>
        <w:ind w:left="1788" w:hanging="360"/>
      </w:pPr>
      <w:rPr>
        <w:rFonts w:ascii="Symbol" w:hAnsi="Symbol" w:hint="default"/>
        <w:sz w:val="22"/>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57A10E29"/>
    <w:multiLevelType w:val="hybridMultilevel"/>
    <w:tmpl w:val="C572302E"/>
    <w:lvl w:ilvl="0" w:tplc="040C0001">
      <w:start w:val="1"/>
      <w:numFmt w:val="bullet"/>
      <w:lvlText w:val=""/>
      <w:lvlJc w:val="left"/>
      <w:pPr>
        <w:ind w:left="1293" w:hanging="360"/>
      </w:pPr>
      <w:rPr>
        <w:rFonts w:ascii="Symbol" w:hAnsi="Symbol" w:hint="default"/>
      </w:rPr>
    </w:lvl>
    <w:lvl w:ilvl="1" w:tplc="040C0003" w:tentative="1">
      <w:start w:val="1"/>
      <w:numFmt w:val="bullet"/>
      <w:lvlText w:val="o"/>
      <w:lvlJc w:val="left"/>
      <w:pPr>
        <w:ind w:left="2013" w:hanging="360"/>
      </w:pPr>
      <w:rPr>
        <w:rFonts w:ascii="Courier New" w:hAnsi="Courier New" w:hint="default"/>
      </w:rPr>
    </w:lvl>
    <w:lvl w:ilvl="2" w:tplc="040C0005" w:tentative="1">
      <w:start w:val="1"/>
      <w:numFmt w:val="bullet"/>
      <w:lvlText w:val=""/>
      <w:lvlJc w:val="left"/>
      <w:pPr>
        <w:ind w:left="2733" w:hanging="360"/>
      </w:pPr>
      <w:rPr>
        <w:rFonts w:ascii="Wingdings" w:hAnsi="Wingdings" w:hint="default"/>
      </w:rPr>
    </w:lvl>
    <w:lvl w:ilvl="3" w:tplc="040C0001" w:tentative="1">
      <w:start w:val="1"/>
      <w:numFmt w:val="bullet"/>
      <w:lvlText w:val=""/>
      <w:lvlJc w:val="left"/>
      <w:pPr>
        <w:ind w:left="3453" w:hanging="360"/>
      </w:pPr>
      <w:rPr>
        <w:rFonts w:ascii="Symbol" w:hAnsi="Symbol" w:hint="default"/>
      </w:rPr>
    </w:lvl>
    <w:lvl w:ilvl="4" w:tplc="040C0003" w:tentative="1">
      <w:start w:val="1"/>
      <w:numFmt w:val="bullet"/>
      <w:lvlText w:val="o"/>
      <w:lvlJc w:val="left"/>
      <w:pPr>
        <w:ind w:left="4173" w:hanging="360"/>
      </w:pPr>
      <w:rPr>
        <w:rFonts w:ascii="Courier New" w:hAnsi="Courier New" w:hint="default"/>
      </w:rPr>
    </w:lvl>
    <w:lvl w:ilvl="5" w:tplc="040C0005" w:tentative="1">
      <w:start w:val="1"/>
      <w:numFmt w:val="bullet"/>
      <w:lvlText w:val=""/>
      <w:lvlJc w:val="left"/>
      <w:pPr>
        <w:ind w:left="4893" w:hanging="360"/>
      </w:pPr>
      <w:rPr>
        <w:rFonts w:ascii="Wingdings" w:hAnsi="Wingdings" w:hint="default"/>
      </w:rPr>
    </w:lvl>
    <w:lvl w:ilvl="6" w:tplc="040C0001" w:tentative="1">
      <w:start w:val="1"/>
      <w:numFmt w:val="bullet"/>
      <w:lvlText w:val=""/>
      <w:lvlJc w:val="left"/>
      <w:pPr>
        <w:ind w:left="5613" w:hanging="360"/>
      </w:pPr>
      <w:rPr>
        <w:rFonts w:ascii="Symbol" w:hAnsi="Symbol" w:hint="default"/>
      </w:rPr>
    </w:lvl>
    <w:lvl w:ilvl="7" w:tplc="040C0003" w:tentative="1">
      <w:start w:val="1"/>
      <w:numFmt w:val="bullet"/>
      <w:lvlText w:val="o"/>
      <w:lvlJc w:val="left"/>
      <w:pPr>
        <w:ind w:left="6333" w:hanging="360"/>
      </w:pPr>
      <w:rPr>
        <w:rFonts w:ascii="Courier New" w:hAnsi="Courier New" w:hint="default"/>
      </w:rPr>
    </w:lvl>
    <w:lvl w:ilvl="8" w:tplc="040C0005" w:tentative="1">
      <w:start w:val="1"/>
      <w:numFmt w:val="bullet"/>
      <w:lvlText w:val=""/>
      <w:lvlJc w:val="left"/>
      <w:pPr>
        <w:ind w:left="7053" w:hanging="360"/>
      </w:pPr>
      <w:rPr>
        <w:rFonts w:ascii="Wingdings" w:hAnsi="Wingdings" w:hint="default"/>
      </w:rPr>
    </w:lvl>
  </w:abstractNum>
  <w:abstractNum w:abstractNumId="22" w15:restartNumberingAfterBreak="0">
    <w:nsid w:val="58A16711"/>
    <w:multiLevelType w:val="hybridMultilevel"/>
    <w:tmpl w:val="86E8020E"/>
    <w:lvl w:ilvl="0" w:tplc="B25E3D8E">
      <w:start w:val="1"/>
      <w:numFmt w:val="bullet"/>
      <w:lvlText w:val=""/>
      <w:lvlJc w:val="left"/>
      <w:pPr>
        <w:tabs>
          <w:tab w:val="num" w:pos="3060"/>
        </w:tabs>
        <w:ind w:left="3060" w:hanging="360"/>
      </w:pPr>
      <w:rPr>
        <w:rFonts w:ascii="Symbol" w:hAnsi="Symbol" w:hint="default"/>
        <w:sz w:val="22"/>
      </w:rPr>
    </w:lvl>
    <w:lvl w:ilvl="1" w:tplc="B25E3D8E">
      <w:start w:val="1"/>
      <w:numFmt w:val="bullet"/>
      <w:lvlText w:val=""/>
      <w:lvlJc w:val="left"/>
      <w:pPr>
        <w:tabs>
          <w:tab w:val="num" w:pos="2160"/>
        </w:tabs>
        <w:ind w:left="2160" w:hanging="360"/>
      </w:pPr>
      <w:rPr>
        <w:rFonts w:ascii="Symbol" w:hAnsi="Symbol" w:hint="default"/>
        <w:sz w:val="22"/>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DD32959"/>
    <w:multiLevelType w:val="multilevel"/>
    <w:tmpl w:val="FC8AEFFC"/>
    <w:lvl w:ilvl="0">
      <w:numFmt w:val="bullet"/>
      <w:lvlText w:val="-"/>
      <w:lvlJc w:val="left"/>
      <w:pPr>
        <w:ind w:left="1653" w:hanging="360"/>
      </w:pPr>
      <w:rPr>
        <w:rFonts w:ascii="Arial Narrow" w:eastAsia="Times New Roman" w:hAnsi="Arial Narrow" w:cs="Times New Roman" w:hint="default"/>
      </w:rPr>
    </w:lvl>
    <w:lvl w:ilvl="1">
      <w:start w:val="1"/>
      <w:numFmt w:val="bullet"/>
      <w:lvlText w:val="o"/>
      <w:lvlJc w:val="left"/>
      <w:pPr>
        <w:ind w:left="2013" w:hanging="360"/>
      </w:pPr>
      <w:rPr>
        <w:rFonts w:ascii="Courier New" w:hAnsi="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hint="default"/>
      </w:rPr>
    </w:lvl>
    <w:lvl w:ilvl="8">
      <w:start w:val="1"/>
      <w:numFmt w:val="bullet"/>
      <w:lvlText w:val=""/>
      <w:lvlJc w:val="left"/>
      <w:pPr>
        <w:ind w:left="7053" w:hanging="360"/>
      </w:pPr>
      <w:rPr>
        <w:rFonts w:ascii="Wingdings" w:hAnsi="Wingdings" w:hint="default"/>
      </w:rPr>
    </w:lvl>
  </w:abstractNum>
  <w:abstractNum w:abstractNumId="24" w15:restartNumberingAfterBreak="0">
    <w:nsid w:val="60A720EF"/>
    <w:multiLevelType w:val="hybridMultilevel"/>
    <w:tmpl w:val="71449DA8"/>
    <w:lvl w:ilvl="0" w:tplc="040C000F">
      <w:start w:val="1"/>
      <w:numFmt w:val="decimal"/>
      <w:lvlText w:val="%1."/>
      <w:lvlJc w:val="left"/>
      <w:pPr>
        <w:ind w:left="1788"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692B6176"/>
    <w:multiLevelType w:val="hybridMultilevel"/>
    <w:tmpl w:val="82ECFFDE"/>
    <w:lvl w:ilvl="0" w:tplc="040C0001">
      <w:start w:val="1"/>
      <w:numFmt w:val="bullet"/>
      <w:lvlText w:val=""/>
      <w:lvlJc w:val="left"/>
      <w:pPr>
        <w:ind w:left="1653" w:hanging="360"/>
      </w:pPr>
      <w:rPr>
        <w:rFonts w:ascii="Symbol" w:hAnsi="Symbol" w:hint="default"/>
      </w:rPr>
    </w:lvl>
    <w:lvl w:ilvl="1" w:tplc="040C0003" w:tentative="1">
      <w:start w:val="1"/>
      <w:numFmt w:val="bullet"/>
      <w:lvlText w:val="o"/>
      <w:lvlJc w:val="left"/>
      <w:pPr>
        <w:ind w:left="2373" w:hanging="360"/>
      </w:pPr>
      <w:rPr>
        <w:rFonts w:ascii="Courier New" w:hAnsi="Courier New" w:hint="default"/>
      </w:rPr>
    </w:lvl>
    <w:lvl w:ilvl="2" w:tplc="040C0005" w:tentative="1">
      <w:start w:val="1"/>
      <w:numFmt w:val="bullet"/>
      <w:lvlText w:val=""/>
      <w:lvlJc w:val="left"/>
      <w:pPr>
        <w:ind w:left="3093" w:hanging="360"/>
      </w:pPr>
      <w:rPr>
        <w:rFonts w:ascii="Wingdings" w:hAnsi="Wingdings" w:hint="default"/>
      </w:rPr>
    </w:lvl>
    <w:lvl w:ilvl="3" w:tplc="040C0001" w:tentative="1">
      <w:start w:val="1"/>
      <w:numFmt w:val="bullet"/>
      <w:lvlText w:val=""/>
      <w:lvlJc w:val="left"/>
      <w:pPr>
        <w:ind w:left="3813" w:hanging="360"/>
      </w:pPr>
      <w:rPr>
        <w:rFonts w:ascii="Symbol" w:hAnsi="Symbol" w:hint="default"/>
      </w:rPr>
    </w:lvl>
    <w:lvl w:ilvl="4" w:tplc="040C0003" w:tentative="1">
      <w:start w:val="1"/>
      <w:numFmt w:val="bullet"/>
      <w:lvlText w:val="o"/>
      <w:lvlJc w:val="left"/>
      <w:pPr>
        <w:ind w:left="4533" w:hanging="360"/>
      </w:pPr>
      <w:rPr>
        <w:rFonts w:ascii="Courier New" w:hAnsi="Courier New" w:hint="default"/>
      </w:rPr>
    </w:lvl>
    <w:lvl w:ilvl="5" w:tplc="040C0005" w:tentative="1">
      <w:start w:val="1"/>
      <w:numFmt w:val="bullet"/>
      <w:lvlText w:val=""/>
      <w:lvlJc w:val="left"/>
      <w:pPr>
        <w:ind w:left="5253" w:hanging="360"/>
      </w:pPr>
      <w:rPr>
        <w:rFonts w:ascii="Wingdings" w:hAnsi="Wingdings" w:hint="default"/>
      </w:rPr>
    </w:lvl>
    <w:lvl w:ilvl="6" w:tplc="040C0001" w:tentative="1">
      <w:start w:val="1"/>
      <w:numFmt w:val="bullet"/>
      <w:lvlText w:val=""/>
      <w:lvlJc w:val="left"/>
      <w:pPr>
        <w:ind w:left="5973" w:hanging="360"/>
      </w:pPr>
      <w:rPr>
        <w:rFonts w:ascii="Symbol" w:hAnsi="Symbol" w:hint="default"/>
      </w:rPr>
    </w:lvl>
    <w:lvl w:ilvl="7" w:tplc="040C0003" w:tentative="1">
      <w:start w:val="1"/>
      <w:numFmt w:val="bullet"/>
      <w:lvlText w:val="o"/>
      <w:lvlJc w:val="left"/>
      <w:pPr>
        <w:ind w:left="6693" w:hanging="360"/>
      </w:pPr>
      <w:rPr>
        <w:rFonts w:ascii="Courier New" w:hAnsi="Courier New" w:hint="default"/>
      </w:rPr>
    </w:lvl>
    <w:lvl w:ilvl="8" w:tplc="040C0005" w:tentative="1">
      <w:start w:val="1"/>
      <w:numFmt w:val="bullet"/>
      <w:lvlText w:val=""/>
      <w:lvlJc w:val="left"/>
      <w:pPr>
        <w:ind w:left="7413" w:hanging="360"/>
      </w:pPr>
      <w:rPr>
        <w:rFonts w:ascii="Wingdings" w:hAnsi="Wingdings" w:hint="default"/>
      </w:rPr>
    </w:lvl>
  </w:abstractNum>
  <w:abstractNum w:abstractNumId="26" w15:restartNumberingAfterBreak="0">
    <w:nsid w:val="70AF480F"/>
    <w:multiLevelType w:val="hybridMultilevel"/>
    <w:tmpl w:val="4BD229DA"/>
    <w:lvl w:ilvl="0" w:tplc="040C0001">
      <w:start w:val="1"/>
      <w:numFmt w:val="bullet"/>
      <w:lvlText w:val=""/>
      <w:lvlJc w:val="left"/>
      <w:pPr>
        <w:ind w:left="1267" w:hanging="360"/>
      </w:pPr>
      <w:rPr>
        <w:rFonts w:ascii="Symbol" w:hAnsi="Symbol" w:hint="default"/>
      </w:rPr>
    </w:lvl>
    <w:lvl w:ilvl="1" w:tplc="040C0003" w:tentative="1">
      <w:start w:val="1"/>
      <w:numFmt w:val="bullet"/>
      <w:lvlText w:val="o"/>
      <w:lvlJc w:val="left"/>
      <w:pPr>
        <w:ind w:left="1987" w:hanging="360"/>
      </w:pPr>
      <w:rPr>
        <w:rFonts w:ascii="Courier New" w:hAnsi="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hint="default"/>
      </w:rPr>
    </w:lvl>
    <w:lvl w:ilvl="8" w:tplc="040C0005" w:tentative="1">
      <w:start w:val="1"/>
      <w:numFmt w:val="bullet"/>
      <w:lvlText w:val=""/>
      <w:lvlJc w:val="left"/>
      <w:pPr>
        <w:ind w:left="7027" w:hanging="360"/>
      </w:pPr>
      <w:rPr>
        <w:rFonts w:ascii="Wingdings" w:hAnsi="Wingdings" w:hint="default"/>
      </w:rPr>
    </w:lvl>
  </w:abstractNum>
  <w:num w:numId="1">
    <w:abstractNumId w:val="22"/>
  </w:num>
  <w:num w:numId="2">
    <w:abstractNumId w:val="8"/>
  </w:num>
  <w:num w:numId="3">
    <w:abstractNumId w:val="4"/>
  </w:num>
  <w:num w:numId="4">
    <w:abstractNumId w:val="17"/>
  </w:num>
  <w:num w:numId="5">
    <w:abstractNumId w:val="12"/>
  </w:num>
  <w:num w:numId="6">
    <w:abstractNumId w:val="9"/>
  </w:num>
  <w:num w:numId="7">
    <w:abstractNumId w:val="6"/>
  </w:num>
  <w:num w:numId="8">
    <w:abstractNumId w:val="24"/>
  </w:num>
  <w:num w:numId="9">
    <w:abstractNumId w:val="20"/>
  </w:num>
  <w:num w:numId="10">
    <w:abstractNumId w:val="15"/>
  </w:num>
  <w:num w:numId="11">
    <w:abstractNumId w:val="0"/>
  </w:num>
  <w:num w:numId="12">
    <w:abstractNumId w:val="2"/>
  </w:num>
  <w:num w:numId="13">
    <w:abstractNumId w:val="3"/>
  </w:num>
  <w:num w:numId="14">
    <w:abstractNumId w:val="19"/>
  </w:num>
  <w:num w:numId="15">
    <w:abstractNumId w:val="18"/>
  </w:num>
  <w:num w:numId="16">
    <w:abstractNumId w:val="26"/>
  </w:num>
  <w:num w:numId="17">
    <w:abstractNumId w:val="7"/>
  </w:num>
  <w:num w:numId="18">
    <w:abstractNumId w:val="5"/>
  </w:num>
  <w:num w:numId="19">
    <w:abstractNumId w:val="13"/>
  </w:num>
  <w:num w:numId="20">
    <w:abstractNumId w:val="16"/>
  </w:num>
  <w:num w:numId="21">
    <w:abstractNumId w:val="23"/>
  </w:num>
  <w:num w:numId="22">
    <w:abstractNumId w:val="25"/>
  </w:num>
  <w:num w:numId="23">
    <w:abstractNumId w:val="14"/>
  </w:num>
  <w:num w:numId="24">
    <w:abstractNumId w:val="21"/>
  </w:num>
  <w:num w:numId="25">
    <w:abstractNumId w:val="11"/>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62"/>
    <w:rsid w:val="00003604"/>
    <w:rsid w:val="00004D57"/>
    <w:rsid w:val="00010928"/>
    <w:rsid w:val="000124D6"/>
    <w:rsid w:val="00012A9E"/>
    <w:rsid w:val="000167F0"/>
    <w:rsid w:val="00017C89"/>
    <w:rsid w:val="00022EA2"/>
    <w:rsid w:val="00023F15"/>
    <w:rsid w:val="00024079"/>
    <w:rsid w:val="0002459D"/>
    <w:rsid w:val="000267A3"/>
    <w:rsid w:val="000277EB"/>
    <w:rsid w:val="00032819"/>
    <w:rsid w:val="00034741"/>
    <w:rsid w:val="000408D7"/>
    <w:rsid w:val="000419CB"/>
    <w:rsid w:val="000420CD"/>
    <w:rsid w:val="00046FC0"/>
    <w:rsid w:val="00047342"/>
    <w:rsid w:val="00047D1B"/>
    <w:rsid w:val="0005025F"/>
    <w:rsid w:val="00050325"/>
    <w:rsid w:val="0005188A"/>
    <w:rsid w:val="00051C01"/>
    <w:rsid w:val="000522DF"/>
    <w:rsid w:val="00052B9A"/>
    <w:rsid w:val="00052FB4"/>
    <w:rsid w:val="000556C3"/>
    <w:rsid w:val="00056B3C"/>
    <w:rsid w:val="000621BF"/>
    <w:rsid w:val="000623E2"/>
    <w:rsid w:val="000653AA"/>
    <w:rsid w:val="000671FB"/>
    <w:rsid w:val="0007291B"/>
    <w:rsid w:val="00074070"/>
    <w:rsid w:val="00074E35"/>
    <w:rsid w:val="00077FCB"/>
    <w:rsid w:val="000806ED"/>
    <w:rsid w:val="00080D1D"/>
    <w:rsid w:val="0008153D"/>
    <w:rsid w:val="00083E42"/>
    <w:rsid w:val="000844F4"/>
    <w:rsid w:val="0008571A"/>
    <w:rsid w:val="00085791"/>
    <w:rsid w:val="000921A0"/>
    <w:rsid w:val="00092F87"/>
    <w:rsid w:val="00093022"/>
    <w:rsid w:val="000930DB"/>
    <w:rsid w:val="0009397F"/>
    <w:rsid w:val="00095191"/>
    <w:rsid w:val="00095692"/>
    <w:rsid w:val="000A1007"/>
    <w:rsid w:val="000A728D"/>
    <w:rsid w:val="000B56C2"/>
    <w:rsid w:val="000C1A8A"/>
    <w:rsid w:val="000C26C8"/>
    <w:rsid w:val="000C2C42"/>
    <w:rsid w:val="000C4194"/>
    <w:rsid w:val="000C4935"/>
    <w:rsid w:val="000C4E5A"/>
    <w:rsid w:val="000D19D7"/>
    <w:rsid w:val="000D216A"/>
    <w:rsid w:val="000D31FC"/>
    <w:rsid w:val="000D3D64"/>
    <w:rsid w:val="000D4904"/>
    <w:rsid w:val="000D6F52"/>
    <w:rsid w:val="000D7363"/>
    <w:rsid w:val="000D7C14"/>
    <w:rsid w:val="000D7E75"/>
    <w:rsid w:val="000E062D"/>
    <w:rsid w:val="000E1052"/>
    <w:rsid w:val="000E1553"/>
    <w:rsid w:val="000E777B"/>
    <w:rsid w:val="000F1D1E"/>
    <w:rsid w:val="000F2134"/>
    <w:rsid w:val="000F2BE2"/>
    <w:rsid w:val="000F427D"/>
    <w:rsid w:val="000F7D37"/>
    <w:rsid w:val="00105C93"/>
    <w:rsid w:val="001108E0"/>
    <w:rsid w:val="00112BB5"/>
    <w:rsid w:val="0011469C"/>
    <w:rsid w:val="00116E3C"/>
    <w:rsid w:val="00117220"/>
    <w:rsid w:val="00121988"/>
    <w:rsid w:val="0012491B"/>
    <w:rsid w:val="00130363"/>
    <w:rsid w:val="0013311F"/>
    <w:rsid w:val="00133293"/>
    <w:rsid w:val="0013437B"/>
    <w:rsid w:val="001368C8"/>
    <w:rsid w:val="00137D86"/>
    <w:rsid w:val="00141050"/>
    <w:rsid w:val="001515CD"/>
    <w:rsid w:val="00152194"/>
    <w:rsid w:val="00153066"/>
    <w:rsid w:val="00153221"/>
    <w:rsid w:val="00153DAD"/>
    <w:rsid w:val="00155A5C"/>
    <w:rsid w:val="0015655B"/>
    <w:rsid w:val="001600FC"/>
    <w:rsid w:val="00160534"/>
    <w:rsid w:val="00160DEC"/>
    <w:rsid w:val="00161909"/>
    <w:rsid w:val="001635A4"/>
    <w:rsid w:val="00163D1E"/>
    <w:rsid w:val="0016467E"/>
    <w:rsid w:val="001674AC"/>
    <w:rsid w:val="0017110A"/>
    <w:rsid w:val="0017168A"/>
    <w:rsid w:val="00171961"/>
    <w:rsid w:val="00172866"/>
    <w:rsid w:val="0018247F"/>
    <w:rsid w:val="00182AC9"/>
    <w:rsid w:val="001858FF"/>
    <w:rsid w:val="00187CB3"/>
    <w:rsid w:val="00190765"/>
    <w:rsid w:val="001934DA"/>
    <w:rsid w:val="001964A8"/>
    <w:rsid w:val="001A002E"/>
    <w:rsid w:val="001A0F85"/>
    <w:rsid w:val="001A13B4"/>
    <w:rsid w:val="001A1B8F"/>
    <w:rsid w:val="001A251C"/>
    <w:rsid w:val="001A63A6"/>
    <w:rsid w:val="001A643C"/>
    <w:rsid w:val="001A660C"/>
    <w:rsid w:val="001A6C45"/>
    <w:rsid w:val="001B0B6A"/>
    <w:rsid w:val="001B1413"/>
    <w:rsid w:val="001B162B"/>
    <w:rsid w:val="001B4CF9"/>
    <w:rsid w:val="001B63C1"/>
    <w:rsid w:val="001B66F7"/>
    <w:rsid w:val="001C1D68"/>
    <w:rsid w:val="001C2290"/>
    <w:rsid w:val="001C3A6F"/>
    <w:rsid w:val="001C3B6E"/>
    <w:rsid w:val="001C5B8C"/>
    <w:rsid w:val="001C7A65"/>
    <w:rsid w:val="001D2442"/>
    <w:rsid w:val="001D662F"/>
    <w:rsid w:val="001E1585"/>
    <w:rsid w:val="001E15AA"/>
    <w:rsid w:val="001E1932"/>
    <w:rsid w:val="001E5B5D"/>
    <w:rsid w:val="001F05C6"/>
    <w:rsid w:val="001F1F3A"/>
    <w:rsid w:val="001F2AF7"/>
    <w:rsid w:val="001F3566"/>
    <w:rsid w:val="001F6051"/>
    <w:rsid w:val="001F68A4"/>
    <w:rsid w:val="0020347C"/>
    <w:rsid w:val="00204C69"/>
    <w:rsid w:val="00205C98"/>
    <w:rsid w:val="002067D2"/>
    <w:rsid w:val="002067EC"/>
    <w:rsid w:val="00210269"/>
    <w:rsid w:val="00211DDE"/>
    <w:rsid w:val="00212839"/>
    <w:rsid w:val="0021569F"/>
    <w:rsid w:val="002158BF"/>
    <w:rsid w:val="00216A7E"/>
    <w:rsid w:val="00217467"/>
    <w:rsid w:val="002200BC"/>
    <w:rsid w:val="00222DDC"/>
    <w:rsid w:val="00223E7A"/>
    <w:rsid w:val="00226846"/>
    <w:rsid w:val="00230A90"/>
    <w:rsid w:val="00233403"/>
    <w:rsid w:val="002432A6"/>
    <w:rsid w:val="00244952"/>
    <w:rsid w:val="00245C41"/>
    <w:rsid w:val="00246CF6"/>
    <w:rsid w:val="002475FE"/>
    <w:rsid w:val="002502CC"/>
    <w:rsid w:val="00251423"/>
    <w:rsid w:val="002522A2"/>
    <w:rsid w:val="00253D09"/>
    <w:rsid w:val="002579B0"/>
    <w:rsid w:val="00263A19"/>
    <w:rsid w:val="0027052B"/>
    <w:rsid w:val="00270805"/>
    <w:rsid w:val="00276229"/>
    <w:rsid w:val="00276AC4"/>
    <w:rsid w:val="002775FD"/>
    <w:rsid w:val="002777D0"/>
    <w:rsid w:val="00280B50"/>
    <w:rsid w:val="00282734"/>
    <w:rsid w:val="00284579"/>
    <w:rsid w:val="00284582"/>
    <w:rsid w:val="00286B8F"/>
    <w:rsid w:val="0029056B"/>
    <w:rsid w:val="0029141A"/>
    <w:rsid w:val="00297D86"/>
    <w:rsid w:val="002A0370"/>
    <w:rsid w:val="002A096E"/>
    <w:rsid w:val="002A1ED8"/>
    <w:rsid w:val="002A4E68"/>
    <w:rsid w:val="002A7585"/>
    <w:rsid w:val="002B12AE"/>
    <w:rsid w:val="002B21D0"/>
    <w:rsid w:val="002B2BDB"/>
    <w:rsid w:val="002B32CC"/>
    <w:rsid w:val="002C157A"/>
    <w:rsid w:val="002C313E"/>
    <w:rsid w:val="002C4DA8"/>
    <w:rsid w:val="002C530C"/>
    <w:rsid w:val="002D2165"/>
    <w:rsid w:val="002D29B4"/>
    <w:rsid w:val="002D48F5"/>
    <w:rsid w:val="002D7B78"/>
    <w:rsid w:val="002E22B4"/>
    <w:rsid w:val="002E5FE1"/>
    <w:rsid w:val="002E693A"/>
    <w:rsid w:val="002F0995"/>
    <w:rsid w:val="002F3F5E"/>
    <w:rsid w:val="002F4A1D"/>
    <w:rsid w:val="0030139E"/>
    <w:rsid w:val="0030218A"/>
    <w:rsid w:val="00302421"/>
    <w:rsid w:val="00305571"/>
    <w:rsid w:val="003114DA"/>
    <w:rsid w:val="0031345F"/>
    <w:rsid w:val="00323595"/>
    <w:rsid w:val="00326105"/>
    <w:rsid w:val="00327EAF"/>
    <w:rsid w:val="0033161C"/>
    <w:rsid w:val="00333017"/>
    <w:rsid w:val="00342423"/>
    <w:rsid w:val="00342C22"/>
    <w:rsid w:val="00344A81"/>
    <w:rsid w:val="00345171"/>
    <w:rsid w:val="00347A56"/>
    <w:rsid w:val="003525EA"/>
    <w:rsid w:val="0035343D"/>
    <w:rsid w:val="0035520E"/>
    <w:rsid w:val="0036026B"/>
    <w:rsid w:val="00360CFE"/>
    <w:rsid w:val="0036211C"/>
    <w:rsid w:val="003634E2"/>
    <w:rsid w:val="003666D2"/>
    <w:rsid w:val="00367F95"/>
    <w:rsid w:val="00370040"/>
    <w:rsid w:val="003712FB"/>
    <w:rsid w:val="00372EAD"/>
    <w:rsid w:val="00373718"/>
    <w:rsid w:val="00373790"/>
    <w:rsid w:val="003741FA"/>
    <w:rsid w:val="00376034"/>
    <w:rsid w:val="003836D9"/>
    <w:rsid w:val="003871F8"/>
    <w:rsid w:val="00395AE5"/>
    <w:rsid w:val="003A04A2"/>
    <w:rsid w:val="003A5879"/>
    <w:rsid w:val="003A5D26"/>
    <w:rsid w:val="003A7341"/>
    <w:rsid w:val="003A7671"/>
    <w:rsid w:val="003B1CF1"/>
    <w:rsid w:val="003B6EED"/>
    <w:rsid w:val="003B72C4"/>
    <w:rsid w:val="003C045B"/>
    <w:rsid w:val="003C1DDB"/>
    <w:rsid w:val="003C268A"/>
    <w:rsid w:val="003C4408"/>
    <w:rsid w:val="003C742C"/>
    <w:rsid w:val="003D13B4"/>
    <w:rsid w:val="003D2464"/>
    <w:rsid w:val="003D2C75"/>
    <w:rsid w:val="003D2F8A"/>
    <w:rsid w:val="003D757F"/>
    <w:rsid w:val="003E3B73"/>
    <w:rsid w:val="003F0F2F"/>
    <w:rsid w:val="003F215E"/>
    <w:rsid w:val="003F30A7"/>
    <w:rsid w:val="003F3D63"/>
    <w:rsid w:val="003F7B81"/>
    <w:rsid w:val="003F7F53"/>
    <w:rsid w:val="00400EE2"/>
    <w:rsid w:val="00401965"/>
    <w:rsid w:val="00403D13"/>
    <w:rsid w:val="00404F61"/>
    <w:rsid w:val="00406111"/>
    <w:rsid w:val="00406790"/>
    <w:rsid w:val="00411410"/>
    <w:rsid w:val="00414091"/>
    <w:rsid w:val="00420FAB"/>
    <w:rsid w:val="0042564E"/>
    <w:rsid w:val="004340A5"/>
    <w:rsid w:val="00435832"/>
    <w:rsid w:val="00435FA3"/>
    <w:rsid w:val="00435FF6"/>
    <w:rsid w:val="00440AD3"/>
    <w:rsid w:val="00441984"/>
    <w:rsid w:val="004435C2"/>
    <w:rsid w:val="004505C1"/>
    <w:rsid w:val="00451BB4"/>
    <w:rsid w:val="00453151"/>
    <w:rsid w:val="00454D82"/>
    <w:rsid w:val="004610C7"/>
    <w:rsid w:val="0046112F"/>
    <w:rsid w:val="004613F5"/>
    <w:rsid w:val="00464719"/>
    <w:rsid w:val="00465504"/>
    <w:rsid w:val="00466D89"/>
    <w:rsid w:val="00467B40"/>
    <w:rsid w:val="00470915"/>
    <w:rsid w:val="004711D7"/>
    <w:rsid w:val="004724AD"/>
    <w:rsid w:val="00472874"/>
    <w:rsid w:val="004728A1"/>
    <w:rsid w:val="0047467B"/>
    <w:rsid w:val="00474931"/>
    <w:rsid w:val="00487D59"/>
    <w:rsid w:val="00490884"/>
    <w:rsid w:val="00491778"/>
    <w:rsid w:val="00491E2F"/>
    <w:rsid w:val="00492DB6"/>
    <w:rsid w:val="004A07A2"/>
    <w:rsid w:val="004A0B7A"/>
    <w:rsid w:val="004A1A24"/>
    <w:rsid w:val="004A693F"/>
    <w:rsid w:val="004A7CF4"/>
    <w:rsid w:val="004B6944"/>
    <w:rsid w:val="004C1CF9"/>
    <w:rsid w:val="004C2E73"/>
    <w:rsid w:val="004C4592"/>
    <w:rsid w:val="004C5209"/>
    <w:rsid w:val="004D0C11"/>
    <w:rsid w:val="004D26FC"/>
    <w:rsid w:val="004D4F58"/>
    <w:rsid w:val="004D69AE"/>
    <w:rsid w:val="004D6EF4"/>
    <w:rsid w:val="004E6B37"/>
    <w:rsid w:val="004E7A71"/>
    <w:rsid w:val="004E7E0D"/>
    <w:rsid w:val="004F10A7"/>
    <w:rsid w:val="004F6079"/>
    <w:rsid w:val="004F6BD5"/>
    <w:rsid w:val="004F70BC"/>
    <w:rsid w:val="0050717E"/>
    <w:rsid w:val="0051023A"/>
    <w:rsid w:val="00511E7A"/>
    <w:rsid w:val="00516771"/>
    <w:rsid w:val="00516AA8"/>
    <w:rsid w:val="00524DB5"/>
    <w:rsid w:val="00527415"/>
    <w:rsid w:val="00527B35"/>
    <w:rsid w:val="005333DF"/>
    <w:rsid w:val="005345B5"/>
    <w:rsid w:val="005350AB"/>
    <w:rsid w:val="00536C83"/>
    <w:rsid w:val="00537A77"/>
    <w:rsid w:val="00540454"/>
    <w:rsid w:val="0054269C"/>
    <w:rsid w:val="005437D1"/>
    <w:rsid w:val="00547870"/>
    <w:rsid w:val="005505F6"/>
    <w:rsid w:val="00550D9F"/>
    <w:rsid w:val="00552652"/>
    <w:rsid w:val="00556065"/>
    <w:rsid w:val="005574E5"/>
    <w:rsid w:val="005606C0"/>
    <w:rsid w:val="00560C52"/>
    <w:rsid w:val="00561AF5"/>
    <w:rsid w:val="005679EB"/>
    <w:rsid w:val="00573860"/>
    <w:rsid w:val="00576FDF"/>
    <w:rsid w:val="0057732C"/>
    <w:rsid w:val="0058029F"/>
    <w:rsid w:val="00583B2A"/>
    <w:rsid w:val="00584E08"/>
    <w:rsid w:val="00584F47"/>
    <w:rsid w:val="00590769"/>
    <w:rsid w:val="00590F8A"/>
    <w:rsid w:val="00592C70"/>
    <w:rsid w:val="00594901"/>
    <w:rsid w:val="00594D17"/>
    <w:rsid w:val="005A0885"/>
    <w:rsid w:val="005A10FD"/>
    <w:rsid w:val="005A1D69"/>
    <w:rsid w:val="005A4E4A"/>
    <w:rsid w:val="005A734E"/>
    <w:rsid w:val="005B076A"/>
    <w:rsid w:val="005B3E27"/>
    <w:rsid w:val="005B5E76"/>
    <w:rsid w:val="005B62C6"/>
    <w:rsid w:val="005C31DE"/>
    <w:rsid w:val="005C3B84"/>
    <w:rsid w:val="005C5BF1"/>
    <w:rsid w:val="005C6DAB"/>
    <w:rsid w:val="005D0DB5"/>
    <w:rsid w:val="005E4E71"/>
    <w:rsid w:val="005E6D97"/>
    <w:rsid w:val="005E755D"/>
    <w:rsid w:val="005F1F83"/>
    <w:rsid w:val="005F2984"/>
    <w:rsid w:val="005F3AF1"/>
    <w:rsid w:val="00604010"/>
    <w:rsid w:val="00612F2D"/>
    <w:rsid w:val="00612FE6"/>
    <w:rsid w:val="0061363B"/>
    <w:rsid w:val="006169AB"/>
    <w:rsid w:val="0061727C"/>
    <w:rsid w:val="00617AF8"/>
    <w:rsid w:val="00621817"/>
    <w:rsid w:val="00622BF7"/>
    <w:rsid w:val="0062523D"/>
    <w:rsid w:val="00626CE9"/>
    <w:rsid w:val="0063323E"/>
    <w:rsid w:val="006338F9"/>
    <w:rsid w:val="00634E2A"/>
    <w:rsid w:val="00643863"/>
    <w:rsid w:val="00643950"/>
    <w:rsid w:val="00644975"/>
    <w:rsid w:val="0064769F"/>
    <w:rsid w:val="00650225"/>
    <w:rsid w:val="00650929"/>
    <w:rsid w:val="0065413C"/>
    <w:rsid w:val="00655091"/>
    <w:rsid w:val="0065684A"/>
    <w:rsid w:val="00657823"/>
    <w:rsid w:val="00660CC8"/>
    <w:rsid w:val="00664747"/>
    <w:rsid w:val="00671331"/>
    <w:rsid w:val="0067306D"/>
    <w:rsid w:val="006774F5"/>
    <w:rsid w:val="00682108"/>
    <w:rsid w:val="00683295"/>
    <w:rsid w:val="006903C1"/>
    <w:rsid w:val="00691D3A"/>
    <w:rsid w:val="00693F86"/>
    <w:rsid w:val="00694907"/>
    <w:rsid w:val="00695FA5"/>
    <w:rsid w:val="00695FD8"/>
    <w:rsid w:val="006960C5"/>
    <w:rsid w:val="006967DA"/>
    <w:rsid w:val="00696F04"/>
    <w:rsid w:val="006A2A1C"/>
    <w:rsid w:val="006A38CD"/>
    <w:rsid w:val="006A5A4D"/>
    <w:rsid w:val="006B4999"/>
    <w:rsid w:val="006B53D6"/>
    <w:rsid w:val="006B620B"/>
    <w:rsid w:val="006C1A22"/>
    <w:rsid w:val="006C1CA4"/>
    <w:rsid w:val="006C21C7"/>
    <w:rsid w:val="006C4371"/>
    <w:rsid w:val="006C4596"/>
    <w:rsid w:val="006C7444"/>
    <w:rsid w:val="006C7FD3"/>
    <w:rsid w:val="006C7FE8"/>
    <w:rsid w:val="006D4155"/>
    <w:rsid w:val="006E4317"/>
    <w:rsid w:val="006E58A3"/>
    <w:rsid w:val="006F0650"/>
    <w:rsid w:val="006F1626"/>
    <w:rsid w:val="006F19C8"/>
    <w:rsid w:val="006F2025"/>
    <w:rsid w:val="006F25F8"/>
    <w:rsid w:val="006F28CD"/>
    <w:rsid w:val="006F3F80"/>
    <w:rsid w:val="006F4C68"/>
    <w:rsid w:val="006F4F7F"/>
    <w:rsid w:val="006F5D7D"/>
    <w:rsid w:val="007007F8"/>
    <w:rsid w:val="007025B8"/>
    <w:rsid w:val="00705C39"/>
    <w:rsid w:val="00707123"/>
    <w:rsid w:val="0072149F"/>
    <w:rsid w:val="007232E3"/>
    <w:rsid w:val="00727986"/>
    <w:rsid w:val="0073080D"/>
    <w:rsid w:val="007311D7"/>
    <w:rsid w:val="00732904"/>
    <w:rsid w:val="007363DE"/>
    <w:rsid w:val="00743755"/>
    <w:rsid w:val="00744FBD"/>
    <w:rsid w:val="0074530A"/>
    <w:rsid w:val="00745F6F"/>
    <w:rsid w:val="00747F3D"/>
    <w:rsid w:val="00752BDD"/>
    <w:rsid w:val="007577BE"/>
    <w:rsid w:val="00761827"/>
    <w:rsid w:val="0076519D"/>
    <w:rsid w:val="00767BD9"/>
    <w:rsid w:val="00770E27"/>
    <w:rsid w:val="00777596"/>
    <w:rsid w:val="00777D44"/>
    <w:rsid w:val="007818E1"/>
    <w:rsid w:val="00782B0F"/>
    <w:rsid w:val="00785956"/>
    <w:rsid w:val="00793729"/>
    <w:rsid w:val="00793DFD"/>
    <w:rsid w:val="00794D52"/>
    <w:rsid w:val="00797FD8"/>
    <w:rsid w:val="007A14B8"/>
    <w:rsid w:val="007A4162"/>
    <w:rsid w:val="007A52D6"/>
    <w:rsid w:val="007A5FD9"/>
    <w:rsid w:val="007A7AA6"/>
    <w:rsid w:val="007B033B"/>
    <w:rsid w:val="007B03F8"/>
    <w:rsid w:val="007B0EB6"/>
    <w:rsid w:val="007B13E1"/>
    <w:rsid w:val="007B1D69"/>
    <w:rsid w:val="007B2272"/>
    <w:rsid w:val="007B4D42"/>
    <w:rsid w:val="007B726C"/>
    <w:rsid w:val="007B7667"/>
    <w:rsid w:val="007B7828"/>
    <w:rsid w:val="007C0BB1"/>
    <w:rsid w:val="007C1430"/>
    <w:rsid w:val="007C3B2C"/>
    <w:rsid w:val="007C476E"/>
    <w:rsid w:val="007C4B7E"/>
    <w:rsid w:val="007C5A3E"/>
    <w:rsid w:val="007C736A"/>
    <w:rsid w:val="007D434E"/>
    <w:rsid w:val="007D43C0"/>
    <w:rsid w:val="007D555E"/>
    <w:rsid w:val="007E5A27"/>
    <w:rsid w:val="007E5DBC"/>
    <w:rsid w:val="007E69AE"/>
    <w:rsid w:val="007F1157"/>
    <w:rsid w:val="007F1D3F"/>
    <w:rsid w:val="007F3DBE"/>
    <w:rsid w:val="007F6724"/>
    <w:rsid w:val="00802229"/>
    <w:rsid w:val="00807340"/>
    <w:rsid w:val="0081060B"/>
    <w:rsid w:val="00810A42"/>
    <w:rsid w:val="00810BB6"/>
    <w:rsid w:val="008113A8"/>
    <w:rsid w:val="0081159D"/>
    <w:rsid w:val="00813B36"/>
    <w:rsid w:val="008140C0"/>
    <w:rsid w:val="00815516"/>
    <w:rsid w:val="00815C9F"/>
    <w:rsid w:val="008207AD"/>
    <w:rsid w:val="0082220C"/>
    <w:rsid w:val="00822FD8"/>
    <w:rsid w:val="00823E77"/>
    <w:rsid w:val="00830798"/>
    <w:rsid w:val="00835367"/>
    <w:rsid w:val="008365C4"/>
    <w:rsid w:val="00837EE2"/>
    <w:rsid w:val="0084077A"/>
    <w:rsid w:val="008407AD"/>
    <w:rsid w:val="00840900"/>
    <w:rsid w:val="008458BB"/>
    <w:rsid w:val="0084629E"/>
    <w:rsid w:val="008463F3"/>
    <w:rsid w:val="00846938"/>
    <w:rsid w:val="00846B00"/>
    <w:rsid w:val="00850E41"/>
    <w:rsid w:val="008511F6"/>
    <w:rsid w:val="00854B38"/>
    <w:rsid w:val="0086184D"/>
    <w:rsid w:val="0086261A"/>
    <w:rsid w:val="00864313"/>
    <w:rsid w:val="0086471F"/>
    <w:rsid w:val="00864CC4"/>
    <w:rsid w:val="00865C72"/>
    <w:rsid w:val="00873BA3"/>
    <w:rsid w:val="00875FA3"/>
    <w:rsid w:val="00880BC5"/>
    <w:rsid w:val="00882F3D"/>
    <w:rsid w:val="008844F0"/>
    <w:rsid w:val="008865D3"/>
    <w:rsid w:val="00890D40"/>
    <w:rsid w:val="00891718"/>
    <w:rsid w:val="00891FED"/>
    <w:rsid w:val="00895297"/>
    <w:rsid w:val="0089541D"/>
    <w:rsid w:val="008A0A6D"/>
    <w:rsid w:val="008A12D3"/>
    <w:rsid w:val="008A6097"/>
    <w:rsid w:val="008A6673"/>
    <w:rsid w:val="008A7B9F"/>
    <w:rsid w:val="008B302A"/>
    <w:rsid w:val="008C0D1F"/>
    <w:rsid w:val="008C0F7F"/>
    <w:rsid w:val="008C198F"/>
    <w:rsid w:val="008C2FCD"/>
    <w:rsid w:val="008C5FEE"/>
    <w:rsid w:val="008C6E54"/>
    <w:rsid w:val="008C7ADF"/>
    <w:rsid w:val="008C7C47"/>
    <w:rsid w:val="008D1CB3"/>
    <w:rsid w:val="008D3687"/>
    <w:rsid w:val="008D3D0C"/>
    <w:rsid w:val="008D4FE1"/>
    <w:rsid w:val="008D60C3"/>
    <w:rsid w:val="008D6990"/>
    <w:rsid w:val="008E4C00"/>
    <w:rsid w:val="008E50E6"/>
    <w:rsid w:val="008E5423"/>
    <w:rsid w:val="008E5F18"/>
    <w:rsid w:val="008F1393"/>
    <w:rsid w:val="008F15E4"/>
    <w:rsid w:val="008F2412"/>
    <w:rsid w:val="008F2B96"/>
    <w:rsid w:val="008F4DFA"/>
    <w:rsid w:val="008F6676"/>
    <w:rsid w:val="008F7349"/>
    <w:rsid w:val="008F774D"/>
    <w:rsid w:val="00900DF8"/>
    <w:rsid w:val="00901F2C"/>
    <w:rsid w:val="00904E41"/>
    <w:rsid w:val="00905C3A"/>
    <w:rsid w:val="00906814"/>
    <w:rsid w:val="00910CE5"/>
    <w:rsid w:val="009120F0"/>
    <w:rsid w:val="00912DAF"/>
    <w:rsid w:val="00912F86"/>
    <w:rsid w:val="00913AEF"/>
    <w:rsid w:val="00913F1D"/>
    <w:rsid w:val="0091440D"/>
    <w:rsid w:val="00921903"/>
    <w:rsid w:val="009267FF"/>
    <w:rsid w:val="009270F1"/>
    <w:rsid w:val="00927D25"/>
    <w:rsid w:val="009304F3"/>
    <w:rsid w:val="009305D6"/>
    <w:rsid w:val="00931E28"/>
    <w:rsid w:val="0093428E"/>
    <w:rsid w:val="009342D1"/>
    <w:rsid w:val="0094020D"/>
    <w:rsid w:val="00942E64"/>
    <w:rsid w:val="00947894"/>
    <w:rsid w:val="00952EA3"/>
    <w:rsid w:val="00961FCA"/>
    <w:rsid w:val="009660AD"/>
    <w:rsid w:val="00971A8A"/>
    <w:rsid w:val="00974427"/>
    <w:rsid w:val="00974A62"/>
    <w:rsid w:val="00975520"/>
    <w:rsid w:val="0097596F"/>
    <w:rsid w:val="00975FE5"/>
    <w:rsid w:val="00980303"/>
    <w:rsid w:val="00981366"/>
    <w:rsid w:val="00985947"/>
    <w:rsid w:val="009861B8"/>
    <w:rsid w:val="00990636"/>
    <w:rsid w:val="00994018"/>
    <w:rsid w:val="00995003"/>
    <w:rsid w:val="009A01E0"/>
    <w:rsid w:val="009A2320"/>
    <w:rsid w:val="009A4852"/>
    <w:rsid w:val="009A69EA"/>
    <w:rsid w:val="009B32DA"/>
    <w:rsid w:val="009B5651"/>
    <w:rsid w:val="009B5BC9"/>
    <w:rsid w:val="009B5E68"/>
    <w:rsid w:val="009B6F99"/>
    <w:rsid w:val="009C35BA"/>
    <w:rsid w:val="009C3C16"/>
    <w:rsid w:val="009C5974"/>
    <w:rsid w:val="009D1219"/>
    <w:rsid w:val="009D3AA8"/>
    <w:rsid w:val="009D3C7B"/>
    <w:rsid w:val="009D5927"/>
    <w:rsid w:val="009E0CAD"/>
    <w:rsid w:val="009E47D4"/>
    <w:rsid w:val="009E5431"/>
    <w:rsid w:val="009F21F8"/>
    <w:rsid w:val="009F3D58"/>
    <w:rsid w:val="00A026AF"/>
    <w:rsid w:val="00A05A16"/>
    <w:rsid w:val="00A06E18"/>
    <w:rsid w:val="00A1123C"/>
    <w:rsid w:val="00A13879"/>
    <w:rsid w:val="00A14C23"/>
    <w:rsid w:val="00A1774A"/>
    <w:rsid w:val="00A178CB"/>
    <w:rsid w:val="00A2159E"/>
    <w:rsid w:val="00A21705"/>
    <w:rsid w:val="00A218A0"/>
    <w:rsid w:val="00A238B7"/>
    <w:rsid w:val="00A25E60"/>
    <w:rsid w:val="00A27565"/>
    <w:rsid w:val="00A3118A"/>
    <w:rsid w:val="00A31FBD"/>
    <w:rsid w:val="00A32A26"/>
    <w:rsid w:val="00A35463"/>
    <w:rsid w:val="00A35987"/>
    <w:rsid w:val="00A42933"/>
    <w:rsid w:val="00A43703"/>
    <w:rsid w:val="00A43FC4"/>
    <w:rsid w:val="00A46178"/>
    <w:rsid w:val="00A46490"/>
    <w:rsid w:val="00A535D1"/>
    <w:rsid w:val="00A6203A"/>
    <w:rsid w:val="00A65663"/>
    <w:rsid w:val="00A663FA"/>
    <w:rsid w:val="00A72D10"/>
    <w:rsid w:val="00A74B8F"/>
    <w:rsid w:val="00A76109"/>
    <w:rsid w:val="00A806F2"/>
    <w:rsid w:val="00A81125"/>
    <w:rsid w:val="00A8306C"/>
    <w:rsid w:val="00A85EDC"/>
    <w:rsid w:val="00A92A4B"/>
    <w:rsid w:val="00A94C78"/>
    <w:rsid w:val="00A94D91"/>
    <w:rsid w:val="00A95965"/>
    <w:rsid w:val="00A9750C"/>
    <w:rsid w:val="00A97816"/>
    <w:rsid w:val="00AA0BEB"/>
    <w:rsid w:val="00AA62ED"/>
    <w:rsid w:val="00AA6756"/>
    <w:rsid w:val="00AB0E8E"/>
    <w:rsid w:val="00AB1A2D"/>
    <w:rsid w:val="00AB1B9F"/>
    <w:rsid w:val="00AB2B4F"/>
    <w:rsid w:val="00AB4868"/>
    <w:rsid w:val="00AB4B0E"/>
    <w:rsid w:val="00AC105A"/>
    <w:rsid w:val="00AC2F79"/>
    <w:rsid w:val="00AC4A3E"/>
    <w:rsid w:val="00AC4F41"/>
    <w:rsid w:val="00AC6AB9"/>
    <w:rsid w:val="00AD0A9E"/>
    <w:rsid w:val="00AD0E3D"/>
    <w:rsid w:val="00AD2070"/>
    <w:rsid w:val="00AD2CE4"/>
    <w:rsid w:val="00AD35B6"/>
    <w:rsid w:val="00AD42A3"/>
    <w:rsid w:val="00AD584E"/>
    <w:rsid w:val="00AD7D10"/>
    <w:rsid w:val="00AE1BCA"/>
    <w:rsid w:val="00AE3A1A"/>
    <w:rsid w:val="00AE40DD"/>
    <w:rsid w:val="00AE6C59"/>
    <w:rsid w:val="00AF0330"/>
    <w:rsid w:val="00AF3B15"/>
    <w:rsid w:val="00AF535B"/>
    <w:rsid w:val="00AF5835"/>
    <w:rsid w:val="00AF668B"/>
    <w:rsid w:val="00B00F8C"/>
    <w:rsid w:val="00B02532"/>
    <w:rsid w:val="00B130DB"/>
    <w:rsid w:val="00B13469"/>
    <w:rsid w:val="00B14362"/>
    <w:rsid w:val="00B14E34"/>
    <w:rsid w:val="00B1552C"/>
    <w:rsid w:val="00B2540C"/>
    <w:rsid w:val="00B26847"/>
    <w:rsid w:val="00B30054"/>
    <w:rsid w:val="00B343B4"/>
    <w:rsid w:val="00B373B8"/>
    <w:rsid w:val="00B41E45"/>
    <w:rsid w:val="00B442C2"/>
    <w:rsid w:val="00B44B92"/>
    <w:rsid w:val="00B44FE7"/>
    <w:rsid w:val="00B50ED5"/>
    <w:rsid w:val="00B57DF8"/>
    <w:rsid w:val="00B64C52"/>
    <w:rsid w:val="00B650C4"/>
    <w:rsid w:val="00B66A62"/>
    <w:rsid w:val="00B71DB6"/>
    <w:rsid w:val="00B80CD6"/>
    <w:rsid w:val="00B82888"/>
    <w:rsid w:val="00B87919"/>
    <w:rsid w:val="00B9094D"/>
    <w:rsid w:val="00B93194"/>
    <w:rsid w:val="00B941CD"/>
    <w:rsid w:val="00B96185"/>
    <w:rsid w:val="00BA0DD8"/>
    <w:rsid w:val="00BA234E"/>
    <w:rsid w:val="00BA3487"/>
    <w:rsid w:val="00BA3519"/>
    <w:rsid w:val="00BA50ED"/>
    <w:rsid w:val="00BA55DF"/>
    <w:rsid w:val="00BB4D25"/>
    <w:rsid w:val="00BB4FCE"/>
    <w:rsid w:val="00BB50D2"/>
    <w:rsid w:val="00BB7D01"/>
    <w:rsid w:val="00BC02E2"/>
    <w:rsid w:val="00BC2138"/>
    <w:rsid w:val="00BC3860"/>
    <w:rsid w:val="00BC6BE9"/>
    <w:rsid w:val="00BD0811"/>
    <w:rsid w:val="00BD1D9D"/>
    <w:rsid w:val="00BD6E77"/>
    <w:rsid w:val="00BD7C03"/>
    <w:rsid w:val="00BE094B"/>
    <w:rsid w:val="00BE1907"/>
    <w:rsid w:val="00BE254D"/>
    <w:rsid w:val="00BE474E"/>
    <w:rsid w:val="00BE59EA"/>
    <w:rsid w:val="00BF0EA9"/>
    <w:rsid w:val="00BF3978"/>
    <w:rsid w:val="00BF6450"/>
    <w:rsid w:val="00BF66F0"/>
    <w:rsid w:val="00BF78DF"/>
    <w:rsid w:val="00C00BC3"/>
    <w:rsid w:val="00C02FCB"/>
    <w:rsid w:val="00C03057"/>
    <w:rsid w:val="00C05659"/>
    <w:rsid w:val="00C07096"/>
    <w:rsid w:val="00C11F5F"/>
    <w:rsid w:val="00C136DA"/>
    <w:rsid w:val="00C14F11"/>
    <w:rsid w:val="00C16860"/>
    <w:rsid w:val="00C252FB"/>
    <w:rsid w:val="00C25339"/>
    <w:rsid w:val="00C26B97"/>
    <w:rsid w:val="00C26F0B"/>
    <w:rsid w:val="00C316CA"/>
    <w:rsid w:val="00C35593"/>
    <w:rsid w:val="00C36629"/>
    <w:rsid w:val="00C37684"/>
    <w:rsid w:val="00C4029E"/>
    <w:rsid w:val="00C440F3"/>
    <w:rsid w:val="00C44A8D"/>
    <w:rsid w:val="00C4655C"/>
    <w:rsid w:val="00C52AB8"/>
    <w:rsid w:val="00C56158"/>
    <w:rsid w:val="00C62322"/>
    <w:rsid w:val="00C63363"/>
    <w:rsid w:val="00C63A0A"/>
    <w:rsid w:val="00C701CE"/>
    <w:rsid w:val="00C70274"/>
    <w:rsid w:val="00C70ADA"/>
    <w:rsid w:val="00C71C61"/>
    <w:rsid w:val="00C738A1"/>
    <w:rsid w:val="00C73981"/>
    <w:rsid w:val="00C750DB"/>
    <w:rsid w:val="00C761CA"/>
    <w:rsid w:val="00C83BA4"/>
    <w:rsid w:val="00C84B77"/>
    <w:rsid w:val="00C84FD3"/>
    <w:rsid w:val="00C87A4D"/>
    <w:rsid w:val="00C907A5"/>
    <w:rsid w:val="00C93C9C"/>
    <w:rsid w:val="00C958EA"/>
    <w:rsid w:val="00C96A8F"/>
    <w:rsid w:val="00CA094A"/>
    <w:rsid w:val="00CA4DF7"/>
    <w:rsid w:val="00CA618E"/>
    <w:rsid w:val="00CA6D2C"/>
    <w:rsid w:val="00CB0D54"/>
    <w:rsid w:val="00CB1796"/>
    <w:rsid w:val="00CB17B1"/>
    <w:rsid w:val="00CB46D0"/>
    <w:rsid w:val="00CB4D42"/>
    <w:rsid w:val="00CB598B"/>
    <w:rsid w:val="00CB5F0C"/>
    <w:rsid w:val="00CB6B64"/>
    <w:rsid w:val="00CC0368"/>
    <w:rsid w:val="00CC10B9"/>
    <w:rsid w:val="00CC1C2C"/>
    <w:rsid w:val="00CC350D"/>
    <w:rsid w:val="00CC3A32"/>
    <w:rsid w:val="00CC4DF3"/>
    <w:rsid w:val="00CC5E80"/>
    <w:rsid w:val="00CD165E"/>
    <w:rsid w:val="00CD2699"/>
    <w:rsid w:val="00CD341B"/>
    <w:rsid w:val="00CE023F"/>
    <w:rsid w:val="00CE1D88"/>
    <w:rsid w:val="00CE6227"/>
    <w:rsid w:val="00CF7CAB"/>
    <w:rsid w:val="00D01286"/>
    <w:rsid w:val="00D01CBF"/>
    <w:rsid w:val="00D029E6"/>
    <w:rsid w:val="00D05897"/>
    <w:rsid w:val="00D108AB"/>
    <w:rsid w:val="00D12202"/>
    <w:rsid w:val="00D1331F"/>
    <w:rsid w:val="00D16825"/>
    <w:rsid w:val="00D17794"/>
    <w:rsid w:val="00D23475"/>
    <w:rsid w:val="00D23DBD"/>
    <w:rsid w:val="00D24479"/>
    <w:rsid w:val="00D2607E"/>
    <w:rsid w:val="00D26083"/>
    <w:rsid w:val="00D31D3B"/>
    <w:rsid w:val="00D32415"/>
    <w:rsid w:val="00D32609"/>
    <w:rsid w:val="00D34880"/>
    <w:rsid w:val="00D35983"/>
    <w:rsid w:val="00D35CD7"/>
    <w:rsid w:val="00D37D66"/>
    <w:rsid w:val="00D41860"/>
    <w:rsid w:val="00D421B6"/>
    <w:rsid w:val="00D42552"/>
    <w:rsid w:val="00D428D8"/>
    <w:rsid w:val="00D43D9C"/>
    <w:rsid w:val="00D43DE9"/>
    <w:rsid w:val="00D50710"/>
    <w:rsid w:val="00D50C07"/>
    <w:rsid w:val="00D51ED1"/>
    <w:rsid w:val="00D57654"/>
    <w:rsid w:val="00D60743"/>
    <w:rsid w:val="00D62F5C"/>
    <w:rsid w:val="00D6385A"/>
    <w:rsid w:val="00D736B0"/>
    <w:rsid w:val="00D763F6"/>
    <w:rsid w:val="00D814E8"/>
    <w:rsid w:val="00D81581"/>
    <w:rsid w:val="00D81F77"/>
    <w:rsid w:val="00D83A1F"/>
    <w:rsid w:val="00D83E28"/>
    <w:rsid w:val="00D91A51"/>
    <w:rsid w:val="00D938ED"/>
    <w:rsid w:val="00D93F41"/>
    <w:rsid w:val="00D948EB"/>
    <w:rsid w:val="00D94AF2"/>
    <w:rsid w:val="00D94CF1"/>
    <w:rsid w:val="00D95A78"/>
    <w:rsid w:val="00DA18FE"/>
    <w:rsid w:val="00DA2840"/>
    <w:rsid w:val="00DA4EE2"/>
    <w:rsid w:val="00DA511D"/>
    <w:rsid w:val="00DA6335"/>
    <w:rsid w:val="00DB1511"/>
    <w:rsid w:val="00DB6C7C"/>
    <w:rsid w:val="00DB7597"/>
    <w:rsid w:val="00DC04BD"/>
    <w:rsid w:val="00DC1AE5"/>
    <w:rsid w:val="00DC36FA"/>
    <w:rsid w:val="00DC55BE"/>
    <w:rsid w:val="00DD0DFA"/>
    <w:rsid w:val="00DD10BD"/>
    <w:rsid w:val="00DD25EC"/>
    <w:rsid w:val="00DD5DBD"/>
    <w:rsid w:val="00DE04C5"/>
    <w:rsid w:val="00DE0813"/>
    <w:rsid w:val="00DE113B"/>
    <w:rsid w:val="00DE4105"/>
    <w:rsid w:val="00DE6944"/>
    <w:rsid w:val="00DE6FC2"/>
    <w:rsid w:val="00DF23FF"/>
    <w:rsid w:val="00DF3AA0"/>
    <w:rsid w:val="00DF4EA0"/>
    <w:rsid w:val="00DF783C"/>
    <w:rsid w:val="00E0000D"/>
    <w:rsid w:val="00E0043B"/>
    <w:rsid w:val="00E0117A"/>
    <w:rsid w:val="00E015CE"/>
    <w:rsid w:val="00E01A7B"/>
    <w:rsid w:val="00E0319D"/>
    <w:rsid w:val="00E04118"/>
    <w:rsid w:val="00E12D50"/>
    <w:rsid w:val="00E1695C"/>
    <w:rsid w:val="00E16EDD"/>
    <w:rsid w:val="00E214D9"/>
    <w:rsid w:val="00E21AE5"/>
    <w:rsid w:val="00E2222E"/>
    <w:rsid w:val="00E23762"/>
    <w:rsid w:val="00E2498B"/>
    <w:rsid w:val="00E34231"/>
    <w:rsid w:val="00E35857"/>
    <w:rsid w:val="00E37116"/>
    <w:rsid w:val="00E410C3"/>
    <w:rsid w:val="00E447EE"/>
    <w:rsid w:val="00E473D7"/>
    <w:rsid w:val="00E478B6"/>
    <w:rsid w:val="00E504C1"/>
    <w:rsid w:val="00E51D49"/>
    <w:rsid w:val="00E5364D"/>
    <w:rsid w:val="00E53FD8"/>
    <w:rsid w:val="00E54CFD"/>
    <w:rsid w:val="00E565E3"/>
    <w:rsid w:val="00E56EA6"/>
    <w:rsid w:val="00E614A2"/>
    <w:rsid w:val="00E62755"/>
    <w:rsid w:val="00E70171"/>
    <w:rsid w:val="00E723EE"/>
    <w:rsid w:val="00E75E90"/>
    <w:rsid w:val="00E771BF"/>
    <w:rsid w:val="00E77AD9"/>
    <w:rsid w:val="00E77CBA"/>
    <w:rsid w:val="00E80DC4"/>
    <w:rsid w:val="00E82597"/>
    <w:rsid w:val="00E82922"/>
    <w:rsid w:val="00E90AF6"/>
    <w:rsid w:val="00E91C31"/>
    <w:rsid w:val="00E95045"/>
    <w:rsid w:val="00E95893"/>
    <w:rsid w:val="00E96856"/>
    <w:rsid w:val="00EA001E"/>
    <w:rsid w:val="00EA0D1A"/>
    <w:rsid w:val="00EA7DED"/>
    <w:rsid w:val="00EA7FE9"/>
    <w:rsid w:val="00EB1E28"/>
    <w:rsid w:val="00EB5AC1"/>
    <w:rsid w:val="00EB7078"/>
    <w:rsid w:val="00EB71E7"/>
    <w:rsid w:val="00EC2FC0"/>
    <w:rsid w:val="00EC3163"/>
    <w:rsid w:val="00EC594F"/>
    <w:rsid w:val="00EC7812"/>
    <w:rsid w:val="00ED3573"/>
    <w:rsid w:val="00EE114C"/>
    <w:rsid w:val="00EE1AB9"/>
    <w:rsid w:val="00EE4C4B"/>
    <w:rsid w:val="00EE6A88"/>
    <w:rsid w:val="00EF15B3"/>
    <w:rsid w:val="00EF3C0E"/>
    <w:rsid w:val="00EF3C6E"/>
    <w:rsid w:val="00F02576"/>
    <w:rsid w:val="00F030D8"/>
    <w:rsid w:val="00F07812"/>
    <w:rsid w:val="00F10A08"/>
    <w:rsid w:val="00F10CAD"/>
    <w:rsid w:val="00F12048"/>
    <w:rsid w:val="00F12174"/>
    <w:rsid w:val="00F14051"/>
    <w:rsid w:val="00F144D4"/>
    <w:rsid w:val="00F16326"/>
    <w:rsid w:val="00F16A11"/>
    <w:rsid w:val="00F22096"/>
    <w:rsid w:val="00F241EF"/>
    <w:rsid w:val="00F24D0F"/>
    <w:rsid w:val="00F2571E"/>
    <w:rsid w:val="00F26E1F"/>
    <w:rsid w:val="00F33074"/>
    <w:rsid w:val="00F340CD"/>
    <w:rsid w:val="00F37133"/>
    <w:rsid w:val="00F37AEE"/>
    <w:rsid w:val="00F40CFF"/>
    <w:rsid w:val="00F4145C"/>
    <w:rsid w:val="00F41EF9"/>
    <w:rsid w:val="00F4201E"/>
    <w:rsid w:val="00F44AF4"/>
    <w:rsid w:val="00F46727"/>
    <w:rsid w:val="00F47990"/>
    <w:rsid w:val="00F51D93"/>
    <w:rsid w:val="00F54353"/>
    <w:rsid w:val="00F56984"/>
    <w:rsid w:val="00F61ACB"/>
    <w:rsid w:val="00F62260"/>
    <w:rsid w:val="00F653DE"/>
    <w:rsid w:val="00F65986"/>
    <w:rsid w:val="00F66172"/>
    <w:rsid w:val="00F67ACC"/>
    <w:rsid w:val="00F7135E"/>
    <w:rsid w:val="00F724F1"/>
    <w:rsid w:val="00F73194"/>
    <w:rsid w:val="00F76782"/>
    <w:rsid w:val="00F76E3C"/>
    <w:rsid w:val="00F80B96"/>
    <w:rsid w:val="00F83F6A"/>
    <w:rsid w:val="00F865AD"/>
    <w:rsid w:val="00F90433"/>
    <w:rsid w:val="00F924B5"/>
    <w:rsid w:val="00F945F4"/>
    <w:rsid w:val="00F96FED"/>
    <w:rsid w:val="00F976E5"/>
    <w:rsid w:val="00FA1CF5"/>
    <w:rsid w:val="00FA2247"/>
    <w:rsid w:val="00FA3B02"/>
    <w:rsid w:val="00FA3B70"/>
    <w:rsid w:val="00FA5375"/>
    <w:rsid w:val="00FA7820"/>
    <w:rsid w:val="00FB34A5"/>
    <w:rsid w:val="00FB3DE0"/>
    <w:rsid w:val="00FB3F16"/>
    <w:rsid w:val="00FB48F1"/>
    <w:rsid w:val="00FB6FB1"/>
    <w:rsid w:val="00FC35DE"/>
    <w:rsid w:val="00FC56EC"/>
    <w:rsid w:val="00FC70E2"/>
    <w:rsid w:val="00FD28AA"/>
    <w:rsid w:val="00FD48E6"/>
    <w:rsid w:val="00FD4CEF"/>
    <w:rsid w:val="00FD72C7"/>
    <w:rsid w:val="00FE08C0"/>
    <w:rsid w:val="00FE3912"/>
    <w:rsid w:val="00FE3AD4"/>
    <w:rsid w:val="00FE6D14"/>
    <w:rsid w:val="00FE7EEF"/>
    <w:rsid w:val="00FF1825"/>
    <w:rsid w:val="00FF1BB0"/>
    <w:rsid w:val="00FF28C0"/>
    <w:rsid w:val="00FF4B86"/>
    <w:rsid w:val="00FF62C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E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qFormat="1"/>
    <w:lsdException w:name="Medium List 2 Accent 3" w:qFormat="1"/>
    <w:lsdException w:name="Medium Grid 1 Accent 3"/>
    <w:lsdException w:name="Medium Grid 2 Accent 3"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771"/>
    <w:rPr>
      <w:sz w:val="24"/>
      <w:szCs w:val="24"/>
      <w:lang w:val="en-GB" w:eastAsia="en-GB"/>
    </w:rPr>
  </w:style>
  <w:style w:type="paragraph" w:styleId="Heading4">
    <w:name w:val="heading 4"/>
    <w:basedOn w:val="Normal"/>
    <w:next w:val="Normal"/>
    <w:link w:val="Heading4Char"/>
    <w:qFormat/>
    <w:rsid w:val="00253D09"/>
    <w:pPr>
      <w:spacing w:before="200"/>
      <w:outlineLvl w:val="3"/>
    </w:pPr>
    <w:rPr>
      <w:rFonts w:ascii="Calibri" w:eastAsia="MS Mincho" w:hAnsi="Calibri"/>
      <w:b/>
      <w:bCs/>
      <w:i/>
      <w:iCs/>
      <w:color w:val="777777"/>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e de bas de page2,Footnotes,fn,footnote text,Fußnotentext RAXEN,Footnote Text Char,Footnote Text Char2 Char,Footnote Text Char Char1 Char,Footnote Text Char2 Char Char Char,Footnote Text Char1 Char Char Char Char,footnotes,Char"/>
    <w:basedOn w:val="Normal"/>
    <w:link w:val="FootnoteTextChar1"/>
    <w:qFormat/>
    <w:rsid w:val="00B66A62"/>
    <w:rPr>
      <w:sz w:val="20"/>
      <w:szCs w:val="20"/>
    </w:rPr>
  </w:style>
  <w:style w:type="character" w:styleId="FootnoteReference">
    <w:name w:val="footnote reference"/>
    <w:aliases w:val="Appel note de bas de page,callout,Footnote Refernece,Footnotes refss,Footnote Reference Superscript,BVI fnr,Footnote Reference Number, BVI fnr,Ref,de nota al pie,Texto de nota al pie,f,4_G"/>
    <w:rsid w:val="00B66A62"/>
    <w:rPr>
      <w:vertAlign w:val="superscript"/>
    </w:rPr>
  </w:style>
  <w:style w:type="paragraph" w:styleId="Header">
    <w:name w:val="header"/>
    <w:basedOn w:val="Normal"/>
    <w:link w:val="HeaderChar"/>
    <w:rsid w:val="00B66A62"/>
    <w:pPr>
      <w:tabs>
        <w:tab w:val="center" w:pos="4153"/>
        <w:tab w:val="right" w:pos="8306"/>
      </w:tabs>
    </w:pPr>
    <w:rPr>
      <w:lang w:val="x-none"/>
    </w:rPr>
  </w:style>
  <w:style w:type="paragraph" w:styleId="Footer">
    <w:name w:val="footer"/>
    <w:basedOn w:val="Normal"/>
    <w:link w:val="FooterChar"/>
    <w:rsid w:val="00B66A62"/>
    <w:pPr>
      <w:tabs>
        <w:tab w:val="center" w:pos="4153"/>
        <w:tab w:val="right" w:pos="8306"/>
      </w:tabs>
    </w:pPr>
    <w:rPr>
      <w:lang w:val="x-none"/>
    </w:rPr>
  </w:style>
  <w:style w:type="character" w:styleId="PageNumber">
    <w:name w:val="page number"/>
    <w:basedOn w:val="DefaultParagraphFont"/>
    <w:rsid w:val="00B66A62"/>
  </w:style>
  <w:style w:type="character" w:customStyle="1" w:styleId="FootnoteTextChar1">
    <w:name w:val="Footnote Text Char1"/>
    <w:aliases w:val="Note de bas de page2 Char1,Footnotes Char1,fn Char1,footnote text Char1,Fußnotentext RAXEN Char1,Footnote Text Char Char1,Footnote Text Char2 Char Char1,Footnote Text Char Char1 Char Char1,Footnote Text Char2 Char Char Char Char1"/>
    <w:link w:val="FootnoteText"/>
    <w:rsid w:val="00B66A62"/>
    <w:rPr>
      <w:lang w:val="en-GB" w:eastAsia="en-GB" w:bidi="ar-SA"/>
    </w:rPr>
  </w:style>
  <w:style w:type="character" w:styleId="Hyperlink">
    <w:name w:val="Hyperlink"/>
    <w:rsid w:val="00B66A62"/>
    <w:rPr>
      <w:color w:val="0000FF"/>
      <w:u w:val="single"/>
    </w:rPr>
  </w:style>
  <w:style w:type="paragraph" w:styleId="PlainText">
    <w:name w:val="Plain Text"/>
    <w:basedOn w:val="Normal"/>
    <w:link w:val="PlainTextChar"/>
    <w:rsid w:val="000A3154"/>
    <w:rPr>
      <w:rFonts w:ascii="Courier New" w:hAnsi="Courier New"/>
      <w:sz w:val="20"/>
      <w:szCs w:val="20"/>
      <w:lang w:val="en-US"/>
    </w:rPr>
  </w:style>
  <w:style w:type="character" w:customStyle="1" w:styleId="Notedebasdepage2Char">
    <w:name w:val="Note de bas de page2 Char"/>
    <w:aliases w:val="Footnotes Char,fn Char,footnote text Char,Fußnotentext RAXEN Char,Footnote Text Char Char,Footnote Text Char2 Char Char,Footnote Text Char Char1 Char Char,Footnote Text Char2 Char Char Char Char,footnotes Char Char"/>
    <w:rsid w:val="002D206C"/>
    <w:rPr>
      <w:rFonts w:eastAsia="SimSun"/>
      <w:lang w:eastAsia="zh-CN"/>
    </w:rPr>
  </w:style>
  <w:style w:type="paragraph" w:customStyle="1" w:styleId="JuPara">
    <w:name w:val="Ju_Para"/>
    <w:aliases w:val="Left,First line:  0 cm"/>
    <w:basedOn w:val="Normal"/>
    <w:link w:val="JuParaChar"/>
    <w:rsid w:val="002D206C"/>
    <w:pPr>
      <w:suppressAutoHyphens/>
      <w:ind w:firstLine="284"/>
      <w:jc w:val="both"/>
    </w:pPr>
    <w:rPr>
      <w:szCs w:val="20"/>
    </w:rPr>
  </w:style>
  <w:style w:type="character" w:customStyle="1" w:styleId="JuParaChar">
    <w:name w:val="Ju_Para Char"/>
    <w:link w:val="JuPara"/>
    <w:rsid w:val="002D206C"/>
    <w:rPr>
      <w:sz w:val="24"/>
      <w:lang w:val="en-GB" w:eastAsia="en-GB" w:bidi="ar-SA"/>
    </w:rPr>
  </w:style>
  <w:style w:type="character" w:customStyle="1" w:styleId="normal--char">
    <w:name w:val="normal--char"/>
    <w:basedOn w:val="DefaultParagraphFont"/>
    <w:rsid w:val="002D206C"/>
  </w:style>
  <w:style w:type="character" w:customStyle="1" w:styleId="ju-005fpara-002cleft-002cfirst-0020line-003a-0020-00200-0020cm--char">
    <w:name w:val="ju-005fpara-002cleft-002cfirst-0020line-003a-0020-00200-0020cm--char"/>
    <w:basedOn w:val="DefaultParagraphFont"/>
    <w:rsid w:val="002D206C"/>
  </w:style>
  <w:style w:type="character" w:styleId="Emphasis">
    <w:name w:val="Emphasis"/>
    <w:qFormat/>
    <w:rsid w:val="0059146C"/>
    <w:rPr>
      <w:i/>
      <w:iCs/>
    </w:rPr>
  </w:style>
  <w:style w:type="paragraph" w:customStyle="1" w:styleId="ju-005fpara">
    <w:name w:val="ju-005fpara"/>
    <w:basedOn w:val="Normal"/>
    <w:rsid w:val="0059146C"/>
    <w:pPr>
      <w:spacing w:before="100" w:beforeAutospacing="1" w:after="100" w:afterAutospacing="1"/>
    </w:pPr>
  </w:style>
  <w:style w:type="character" w:customStyle="1" w:styleId="CharChar1">
    <w:name w:val="Char Char1"/>
    <w:semiHidden/>
    <w:rsid w:val="001F1B50"/>
    <w:rPr>
      <w:lang w:val="en-GB" w:eastAsia="en-GB" w:bidi="ar-SA"/>
    </w:rPr>
  </w:style>
  <w:style w:type="paragraph" w:styleId="BodyTextIndent">
    <w:name w:val="Body Text Indent"/>
    <w:basedOn w:val="Normal"/>
    <w:link w:val="BodyTextIndentChar"/>
    <w:rsid w:val="001F1B50"/>
    <w:pPr>
      <w:autoSpaceDE w:val="0"/>
      <w:autoSpaceDN w:val="0"/>
      <w:jc w:val="both"/>
    </w:pPr>
    <w:rPr>
      <w:rFonts w:ascii="Times" w:hAnsi="Times" w:cs="Times"/>
      <w:lang w:val="fr-FR" w:eastAsia="fr-FR"/>
    </w:rPr>
  </w:style>
  <w:style w:type="paragraph" w:customStyle="1" w:styleId="Default">
    <w:name w:val="Default"/>
    <w:rsid w:val="002A3E9E"/>
    <w:pPr>
      <w:widowControl w:val="0"/>
      <w:autoSpaceDE w:val="0"/>
      <w:autoSpaceDN w:val="0"/>
      <w:adjustRightInd w:val="0"/>
    </w:pPr>
    <w:rPr>
      <w:color w:val="000000"/>
      <w:sz w:val="24"/>
      <w:szCs w:val="24"/>
    </w:rPr>
  </w:style>
  <w:style w:type="character" w:customStyle="1" w:styleId="sb8d990e2">
    <w:name w:val="sb8d990e2"/>
    <w:basedOn w:val="DefaultParagraphFont"/>
    <w:rsid w:val="00812CA4"/>
  </w:style>
  <w:style w:type="character" w:customStyle="1" w:styleId="s6b621b36">
    <w:name w:val="s6b621b36"/>
    <w:basedOn w:val="DefaultParagraphFont"/>
    <w:rsid w:val="00812CA4"/>
  </w:style>
  <w:style w:type="paragraph" w:customStyle="1" w:styleId="s30eec3f8">
    <w:name w:val="s30eec3f8"/>
    <w:basedOn w:val="Normal"/>
    <w:rsid w:val="000056C1"/>
    <w:pPr>
      <w:spacing w:before="100" w:beforeAutospacing="1" w:after="100" w:afterAutospacing="1"/>
    </w:pPr>
  </w:style>
  <w:style w:type="paragraph" w:customStyle="1" w:styleId="JuCase">
    <w:name w:val="Ju_Case"/>
    <w:basedOn w:val="Normal"/>
    <w:next w:val="Normal"/>
    <w:link w:val="JuCaseChar"/>
    <w:rsid w:val="000056C1"/>
    <w:pPr>
      <w:suppressAutoHyphens/>
      <w:ind w:firstLine="284"/>
      <w:jc w:val="both"/>
    </w:pPr>
    <w:rPr>
      <w:b/>
      <w:szCs w:val="20"/>
      <w:lang w:val="fr-FR" w:eastAsia="fr-FR"/>
    </w:rPr>
  </w:style>
  <w:style w:type="character" w:customStyle="1" w:styleId="JuCaseChar">
    <w:name w:val="Ju_Case Char"/>
    <w:link w:val="JuCase"/>
    <w:rsid w:val="000056C1"/>
    <w:rPr>
      <w:b/>
      <w:sz w:val="24"/>
      <w:lang w:val="fr-FR" w:eastAsia="fr-FR" w:bidi="ar-SA"/>
    </w:rPr>
  </w:style>
  <w:style w:type="character" w:customStyle="1" w:styleId="column01">
    <w:name w:val="column01"/>
    <w:basedOn w:val="DefaultParagraphFont"/>
    <w:rsid w:val="000056C1"/>
  </w:style>
  <w:style w:type="paragraph" w:customStyle="1" w:styleId="CarCharCarCharCarCharCharChar">
    <w:name w:val="Car Char Car Char Car Char Char Char"/>
    <w:basedOn w:val="Normal"/>
    <w:rsid w:val="0072312D"/>
    <w:pPr>
      <w:autoSpaceDE w:val="0"/>
      <w:autoSpaceDN w:val="0"/>
      <w:spacing w:after="160" w:line="240" w:lineRule="exact"/>
    </w:pPr>
    <w:rPr>
      <w:rFonts w:ascii="Arial" w:hAnsi="Arial" w:cs="Arial"/>
      <w:sz w:val="20"/>
      <w:szCs w:val="20"/>
      <w:lang w:val="en-US" w:eastAsia="en-US"/>
    </w:rPr>
  </w:style>
  <w:style w:type="character" w:customStyle="1" w:styleId="FooterChar">
    <w:name w:val="Footer Char"/>
    <w:link w:val="Footer"/>
    <w:rsid w:val="00295C25"/>
    <w:rPr>
      <w:sz w:val="24"/>
      <w:szCs w:val="24"/>
      <w:lang w:eastAsia="en-GB"/>
    </w:rPr>
  </w:style>
  <w:style w:type="character" w:customStyle="1" w:styleId="HeaderChar">
    <w:name w:val="Header Char"/>
    <w:link w:val="Header"/>
    <w:rsid w:val="00295C25"/>
    <w:rPr>
      <w:sz w:val="24"/>
      <w:szCs w:val="24"/>
      <w:lang w:eastAsia="en-GB"/>
    </w:rPr>
  </w:style>
  <w:style w:type="paragraph" w:styleId="BalloonText">
    <w:name w:val="Balloon Text"/>
    <w:basedOn w:val="Normal"/>
    <w:link w:val="BalloonTextChar"/>
    <w:rsid w:val="00295C25"/>
    <w:rPr>
      <w:rFonts w:ascii="Lucida Grande" w:eastAsia="Arial Narrow" w:hAnsi="Lucida Grande"/>
      <w:sz w:val="18"/>
      <w:szCs w:val="18"/>
      <w:lang w:val="en-US"/>
    </w:rPr>
  </w:style>
  <w:style w:type="character" w:customStyle="1" w:styleId="BalloonTextChar">
    <w:name w:val="Balloon Text Char"/>
    <w:link w:val="BalloonText"/>
    <w:rsid w:val="00295C25"/>
    <w:rPr>
      <w:rFonts w:ascii="Lucida Grande" w:eastAsia="Arial Narrow" w:hAnsi="Lucida Grande" w:cs="Lucida Grande"/>
      <w:sz w:val="18"/>
      <w:szCs w:val="18"/>
      <w:lang w:val="en-US" w:eastAsia="en-GB"/>
    </w:rPr>
  </w:style>
  <w:style w:type="paragraph" w:customStyle="1" w:styleId="Listecouleur-Accent11">
    <w:name w:val="Liste couleur - Accent 11"/>
    <w:basedOn w:val="Normal"/>
    <w:rsid w:val="00323595"/>
    <w:pPr>
      <w:ind w:left="720"/>
      <w:contextualSpacing/>
    </w:pPr>
  </w:style>
  <w:style w:type="character" w:customStyle="1" w:styleId="JuParaCar">
    <w:name w:val="Ju_Para Car"/>
    <w:rsid w:val="00576FDF"/>
    <w:rPr>
      <w:sz w:val="24"/>
      <w:lang w:val="fr-FR" w:eastAsia="en-US" w:bidi="ar-SA"/>
    </w:rPr>
  </w:style>
  <w:style w:type="character" w:customStyle="1" w:styleId="trefwoord">
    <w:name w:val="trefwoord"/>
    <w:rsid w:val="009B5E68"/>
    <w:rPr>
      <w:rFonts w:eastAsia="Arial Unicode MS"/>
      <w:color w:val="0000FF"/>
      <w:w w:val="80"/>
      <w:u w:val="dotted"/>
    </w:rPr>
  </w:style>
  <w:style w:type="character" w:styleId="FollowedHyperlink">
    <w:name w:val="FollowedHyperlink"/>
    <w:rsid w:val="00435FA3"/>
    <w:rPr>
      <w:color w:val="800080"/>
      <w:u w:val="single"/>
    </w:rPr>
  </w:style>
  <w:style w:type="paragraph" w:customStyle="1" w:styleId="CarCharCarCharCarCharCharChar0">
    <w:name w:val="Car Char Car Char Car Char Char Char"/>
    <w:basedOn w:val="Normal"/>
    <w:rsid w:val="00046FC0"/>
    <w:pPr>
      <w:autoSpaceDE w:val="0"/>
      <w:autoSpaceDN w:val="0"/>
      <w:spacing w:after="160" w:line="240" w:lineRule="exact"/>
    </w:pPr>
    <w:rPr>
      <w:rFonts w:ascii="Arial" w:hAnsi="Arial" w:cs="Arial"/>
      <w:sz w:val="20"/>
      <w:szCs w:val="20"/>
      <w:lang w:val="en-US" w:eastAsia="en-US"/>
    </w:rPr>
  </w:style>
  <w:style w:type="paragraph" w:customStyle="1" w:styleId="CarCharCarCharCarCharCharChar1">
    <w:name w:val="Car Char Car Char Car Char Char Char"/>
    <w:basedOn w:val="Normal"/>
    <w:rsid w:val="00891718"/>
    <w:pPr>
      <w:autoSpaceDE w:val="0"/>
      <w:autoSpaceDN w:val="0"/>
      <w:spacing w:after="160" w:line="240" w:lineRule="exact"/>
    </w:pPr>
    <w:rPr>
      <w:rFonts w:ascii="Arial" w:hAnsi="Arial" w:cs="Arial"/>
      <w:sz w:val="20"/>
      <w:szCs w:val="20"/>
      <w:lang w:val="en-US" w:eastAsia="en-US"/>
    </w:rPr>
  </w:style>
  <w:style w:type="character" w:customStyle="1" w:styleId="Heading4Char">
    <w:name w:val="Heading 4 Char"/>
    <w:link w:val="Heading4"/>
    <w:rsid w:val="00253D09"/>
    <w:rPr>
      <w:rFonts w:ascii="Calibri" w:eastAsia="MS Mincho" w:hAnsi="Calibri"/>
      <w:b/>
      <w:bCs/>
      <w:i/>
      <w:iCs/>
      <w:color w:val="777777"/>
      <w:sz w:val="22"/>
      <w:szCs w:val="22"/>
      <w:lang w:val="en-US" w:eastAsia="en-US"/>
    </w:rPr>
  </w:style>
  <w:style w:type="paragraph" w:customStyle="1" w:styleId="PCFPara">
    <w:name w:val="PCF_Para"/>
    <w:basedOn w:val="Normal"/>
    <w:link w:val="PCFParaChar"/>
    <w:rsid w:val="00B96185"/>
    <w:pPr>
      <w:jc w:val="both"/>
    </w:pPr>
    <w:rPr>
      <w:rFonts w:ascii="Verdana" w:hAnsi="Verdana"/>
      <w:sz w:val="20"/>
      <w:lang w:val="fr-FR"/>
    </w:rPr>
  </w:style>
  <w:style w:type="character" w:customStyle="1" w:styleId="PCFParaChar">
    <w:name w:val="PCF_Para Char"/>
    <w:link w:val="PCFPara"/>
    <w:rsid w:val="00B96185"/>
    <w:rPr>
      <w:rFonts w:ascii="Verdana" w:hAnsi="Verdana"/>
      <w:szCs w:val="24"/>
      <w:lang w:eastAsia="en-GB"/>
    </w:rPr>
  </w:style>
  <w:style w:type="paragraph" w:customStyle="1" w:styleId="CarCharCarCharCarCharCharChar2">
    <w:name w:val="Car Char Car Char Car Char Char Char"/>
    <w:basedOn w:val="Normal"/>
    <w:rsid w:val="00095692"/>
    <w:pPr>
      <w:autoSpaceDE w:val="0"/>
      <w:autoSpaceDN w:val="0"/>
      <w:spacing w:after="160" w:line="240" w:lineRule="exact"/>
    </w:pPr>
    <w:rPr>
      <w:rFonts w:ascii="Arial" w:hAnsi="Arial" w:cs="Arial"/>
      <w:sz w:val="20"/>
      <w:szCs w:val="20"/>
      <w:lang w:val="en-US" w:eastAsia="en-US"/>
    </w:rPr>
  </w:style>
  <w:style w:type="paragraph" w:styleId="NormalWeb">
    <w:name w:val="Normal (Web)"/>
    <w:basedOn w:val="Normal"/>
    <w:rsid w:val="00305571"/>
  </w:style>
  <w:style w:type="paragraph" w:styleId="ListParagraph">
    <w:name w:val="List Paragraph"/>
    <w:basedOn w:val="Normal"/>
    <w:rsid w:val="008A6097"/>
    <w:pPr>
      <w:ind w:left="720"/>
      <w:contextualSpacing/>
    </w:pPr>
  </w:style>
  <w:style w:type="character" w:customStyle="1" w:styleId="PlainTextChar">
    <w:name w:val="Plain Text Char"/>
    <w:basedOn w:val="DefaultParagraphFont"/>
    <w:link w:val="PlainText"/>
    <w:rsid w:val="00895297"/>
    <w:rPr>
      <w:rFonts w:ascii="Courier New" w:hAnsi="Courier New"/>
      <w:lang w:val="en-US" w:eastAsia="en-GB"/>
    </w:rPr>
  </w:style>
  <w:style w:type="character" w:customStyle="1" w:styleId="BodyTextIndentChar">
    <w:name w:val="Body Text Indent Char"/>
    <w:basedOn w:val="DefaultParagraphFont"/>
    <w:link w:val="BodyTextIndent"/>
    <w:rsid w:val="00895297"/>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62810">
      <w:bodyDiv w:val="1"/>
      <w:marLeft w:val="0"/>
      <w:marRight w:val="0"/>
      <w:marTop w:val="0"/>
      <w:marBottom w:val="0"/>
      <w:divBdr>
        <w:top w:val="none" w:sz="0" w:space="0" w:color="auto"/>
        <w:left w:val="none" w:sz="0" w:space="0" w:color="auto"/>
        <w:bottom w:val="none" w:sz="0" w:space="0" w:color="auto"/>
        <w:right w:val="none" w:sz="0" w:space="0" w:color="auto"/>
      </w:divBdr>
      <w:divsChild>
        <w:div w:id="11804074">
          <w:marLeft w:val="0"/>
          <w:marRight w:val="0"/>
          <w:marTop w:val="0"/>
          <w:marBottom w:val="0"/>
          <w:divBdr>
            <w:top w:val="none" w:sz="0" w:space="0" w:color="auto"/>
            <w:left w:val="none" w:sz="0" w:space="0" w:color="auto"/>
            <w:bottom w:val="none" w:sz="0" w:space="0" w:color="auto"/>
            <w:right w:val="none" w:sz="0" w:space="0" w:color="auto"/>
          </w:divBdr>
          <w:divsChild>
            <w:div w:id="1135290577">
              <w:marLeft w:val="0"/>
              <w:marRight w:val="0"/>
              <w:marTop w:val="0"/>
              <w:marBottom w:val="0"/>
              <w:divBdr>
                <w:top w:val="none" w:sz="0" w:space="0" w:color="auto"/>
                <w:left w:val="none" w:sz="0" w:space="0" w:color="auto"/>
                <w:bottom w:val="none" w:sz="0" w:space="0" w:color="auto"/>
                <w:right w:val="none" w:sz="0" w:space="0" w:color="auto"/>
              </w:divBdr>
              <w:divsChild>
                <w:div w:id="1649435283">
                  <w:marLeft w:val="0"/>
                  <w:marRight w:val="0"/>
                  <w:marTop w:val="0"/>
                  <w:marBottom w:val="0"/>
                  <w:divBdr>
                    <w:top w:val="none" w:sz="0" w:space="0" w:color="auto"/>
                    <w:left w:val="none" w:sz="0" w:space="0" w:color="auto"/>
                    <w:bottom w:val="none" w:sz="0" w:space="0" w:color="auto"/>
                    <w:right w:val="none" w:sz="0" w:space="0" w:color="auto"/>
                  </w:divBdr>
                  <w:divsChild>
                    <w:div w:id="17390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9193">
      <w:bodyDiv w:val="1"/>
      <w:marLeft w:val="0"/>
      <w:marRight w:val="0"/>
      <w:marTop w:val="0"/>
      <w:marBottom w:val="0"/>
      <w:divBdr>
        <w:top w:val="none" w:sz="0" w:space="0" w:color="auto"/>
        <w:left w:val="none" w:sz="0" w:space="0" w:color="auto"/>
        <w:bottom w:val="none" w:sz="0" w:space="0" w:color="auto"/>
        <w:right w:val="none" w:sz="0" w:space="0" w:color="auto"/>
      </w:divBdr>
      <w:divsChild>
        <w:div w:id="2008703984">
          <w:marLeft w:val="0"/>
          <w:marRight w:val="0"/>
          <w:marTop w:val="0"/>
          <w:marBottom w:val="0"/>
          <w:divBdr>
            <w:top w:val="none" w:sz="0" w:space="0" w:color="auto"/>
            <w:left w:val="none" w:sz="0" w:space="0" w:color="auto"/>
            <w:bottom w:val="none" w:sz="0" w:space="0" w:color="auto"/>
            <w:right w:val="none" w:sz="0" w:space="0" w:color="auto"/>
          </w:divBdr>
        </w:div>
      </w:divsChild>
    </w:div>
    <w:div w:id="620845743">
      <w:bodyDiv w:val="1"/>
      <w:marLeft w:val="0"/>
      <w:marRight w:val="0"/>
      <w:marTop w:val="0"/>
      <w:marBottom w:val="0"/>
      <w:divBdr>
        <w:top w:val="none" w:sz="0" w:space="0" w:color="auto"/>
        <w:left w:val="none" w:sz="0" w:space="0" w:color="auto"/>
        <w:bottom w:val="none" w:sz="0" w:space="0" w:color="auto"/>
        <w:right w:val="none" w:sz="0" w:space="0" w:color="auto"/>
      </w:divBdr>
      <w:divsChild>
        <w:div w:id="184566212">
          <w:marLeft w:val="0"/>
          <w:marRight w:val="0"/>
          <w:marTop w:val="0"/>
          <w:marBottom w:val="0"/>
          <w:divBdr>
            <w:top w:val="none" w:sz="0" w:space="0" w:color="auto"/>
            <w:left w:val="none" w:sz="0" w:space="0" w:color="auto"/>
            <w:bottom w:val="none" w:sz="0" w:space="0" w:color="auto"/>
            <w:right w:val="none" w:sz="0" w:space="0" w:color="auto"/>
          </w:divBdr>
        </w:div>
      </w:divsChild>
    </w:div>
    <w:div w:id="785854284">
      <w:bodyDiv w:val="1"/>
      <w:marLeft w:val="0"/>
      <w:marRight w:val="0"/>
      <w:marTop w:val="0"/>
      <w:marBottom w:val="0"/>
      <w:divBdr>
        <w:top w:val="none" w:sz="0" w:space="0" w:color="auto"/>
        <w:left w:val="none" w:sz="0" w:space="0" w:color="auto"/>
        <w:bottom w:val="none" w:sz="0" w:space="0" w:color="auto"/>
        <w:right w:val="none" w:sz="0" w:space="0" w:color="auto"/>
      </w:divBdr>
      <w:divsChild>
        <w:div w:id="93937492">
          <w:marLeft w:val="0"/>
          <w:marRight w:val="0"/>
          <w:marTop w:val="0"/>
          <w:marBottom w:val="0"/>
          <w:divBdr>
            <w:top w:val="none" w:sz="0" w:space="0" w:color="auto"/>
            <w:left w:val="none" w:sz="0" w:space="0" w:color="auto"/>
            <w:bottom w:val="none" w:sz="0" w:space="0" w:color="auto"/>
            <w:right w:val="none" w:sz="0" w:space="0" w:color="auto"/>
          </w:divBdr>
          <w:divsChild>
            <w:div w:id="1792239663">
              <w:marLeft w:val="0"/>
              <w:marRight w:val="0"/>
              <w:marTop w:val="0"/>
              <w:marBottom w:val="0"/>
              <w:divBdr>
                <w:top w:val="none" w:sz="0" w:space="0" w:color="auto"/>
                <w:left w:val="none" w:sz="0" w:space="0" w:color="auto"/>
                <w:bottom w:val="none" w:sz="0" w:space="0" w:color="auto"/>
                <w:right w:val="none" w:sz="0" w:space="0" w:color="auto"/>
              </w:divBdr>
              <w:divsChild>
                <w:div w:id="452215475">
                  <w:marLeft w:val="0"/>
                  <w:marRight w:val="0"/>
                  <w:marTop w:val="0"/>
                  <w:marBottom w:val="0"/>
                  <w:divBdr>
                    <w:top w:val="none" w:sz="0" w:space="0" w:color="auto"/>
                    <w:left w:val="none" w:sz="0" w:space="0" w:color="auto"/>
                    <w:bottom w:val="none" w:sz="0" w:space="0" w:color="auto"/>
                    <w:right w:val="none" w:sz="0" w:space="0" w:color="auto"/>
                  </w:divBdr>
                  <w:divsChild>
                    <w:div w:id="333000745">
                      <w:marLeft w:val="0"/>
                      <w:marRight w:val="0"/>
                      <w:marTop w:val="0"/>
                      <w:marBottom w:val="0"/>
                      <w:divBdr>
                        <w:top w:val="none" w:sz="0" w:space="0" w:color="auto"/>
                        <w:left w:val="none" w:sz="0" w:space="0" w:color="auto"/>
                        <w:bottom w:val="none" w:sz="0" w:space="0" w:color="auto"/>
                        <w:right w:val="none" w:sz="0" w:space="0" w:color="auto"/>
                      </w:divBdr>
                      <w:divsChild>
                        <w:div w:id="1469082438">
                          <w:marLeft w:val="0"/>
                          <w:marRight w:val="0"/>
                          <w:marTop w:val="0"/>
                          <w:marBottom w:val="0"/>
                          <w:divBdr>
                            <w:top w:val="none" w:sz="0" w:space="0" w:color="auto"/>
                            <w:left w:val="none" w:sz="0" w:space="0" w:color="auto"/>
                            <w:bottom w:val="none" w:sz="0" w:space="0" w:color="auto"/>
                            <w:right w:val="none" w:sz="0" w:space="0" w:color="auto"/>
                          </w:divBdr>
                          <w:divsChild>
                            <w:div w:id="13985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822863">
      <w:bodyDiv w:val="1"/>
      <w:marLeft w:val="0"/>
      <w:marRight w:val="0"/>
      <w:marTop w:val="0"/>
      <w:marBottom w:val="0"/>
      <w:divBdr>
        <w:top w:val="none" w:sz="0" w:space="0" w:color="auto"/>
        <w:left w:val="none" w:sz="0" w:space="0" w:color="auto"/>
        <w:bottom w:val="none" w:sz="0" w:space="0" w:color="auto"/>
        <w:right w:val="none" w:sz="0" w:space="0" w:color="auto"/>
      </w:divBdr>
      <w:divsChild>
        <w:div w:id="643507144">
          <w:marLeft w:val="0"/>
          <w:marRight w:val="0"/>
          <w:marTop w:val="0"/>
          <w:marBottom w:val="0"/>
          <w:divBdr>
            <w:top w:val="none" w:sz="0" w:space="0" w:color="auto"/>
            <w:left w:val="none" w:sz="0" w:space="0" w:color="auto"/>
            <w:bottom w:val="none" w:sz="0" w:space="0" w:color="auto"/>
            <w:right w:val="none" w:sz="0" w:space="0" w:color="auto"/>
          </w:divBdr>
        </w:div>
      </w:divsChild>
    </w:div>
    <w:div w:id="1249004281">
      <w:bodyDiv w:val="1"/>
      <w:marLeft w:val="0"/>
      <w:marRight w:val="0"/>
      <w:marTop w:val="0"/>
      <w:marBottom w:val="0"/>
      <w:divBdr>
        <w:top w:val="none" w:sz="0" w:space="0" w:color="auto"/>
        <w:left w:val="none" w:sz="0" w:space="0" w:color="auto"/>
        <w:bottom w:val="none" w:sz="0" w:space="0" w:color="auto"/>
        <w:right w:val="none" w:sz="0" w:space="0" w:color="auto"/>
      </w:divBdr>
      <w:divsChild>
        <w:div w:id="930546593">
          <w:marLeft w:val="0"/>
          <w:marRight w:val="0"/>
          <w:marTop w:val="0"/>
          <w:marBottom w:val="0"/>
          <w:divBdr>
            <w:top w:val="none" w:sz="0" w:space="0" w:color="auto"/>
            <w:left w:val="none" w:sz="0" w:space="0" w:color="auto"/>
            <w:bottom w:val="none" w:sz="0" w:space="0" w:color="auto"/>
            <w:right w:val="none" w:sz="0" w:space="0" w:color="auto"/>
          </w:divBdr>
          <w:divsChild>
            <w:div w:id="1841309163">
              <w:marLeft w:val="0"/>
              <w:marRight w:val="0"/>
              <w:marTop w:val="0"/>
              <w:marBottom w:val="0"/>
              <w:divBdr>
                <w:top w:val="none" w:sz="0" w:space="0" w:color="auto"/>
                <w:left w:val="none" w:sz="0" w:space="0" w:color="auto"/>
                <w:bottom w:val="none" w:sz="0" w:space="0" w:color="auto"/>
                <w:right w:val="none" w:sz="0" w:space="0" w:color="auto"/>
              </w:divBdr>
              <w:divsChild>
                <w:div w:id="983851468">
                  <w:marLeft w:val="0"/>
                  <w:marRight w:val="0"/>
                  <w:marTop w:val="0"/>
                  <w:marBottom w:val="0"/>
                  <w:divBdr>
                    <w:top w:val="none" w:sz="0" w:space="0" w:color="auto"/>
                    <w:left w:val="none" w:sz="0" w:space="0" w:color="auto"/>
                    <w:bottom w:val="none" w:sz="0" w:space="0" w:color="auto"/>
                    <w:right w:val="none" w:sz="0" w:space="0" w:color="auto"/>
                  </w:divBdr>
                  <w:divsChild>
                    <w:div w:id="534119459">
                      <w:marLeft w:val="0"/>
                      <w:marRight w:val="0"/>
                      <w:marTop w:val="0"/>
                      <w:marBottom w:val="0"/>
                      <w:divBdr>
                        <w:top w:val="none" w:sz="0" w:space="0" w:color="auto"/>
                        <w:left w:val="none" w:sz="0" w:space="0" w:color="auto"/>
                        <w:bottom w:val="none" w:sz="0" w:space="0" w:color="auto"/>
                        <w:right w:val="none" w:sz="0" w:space="0" w:color="auto"/>
                      </w:divBdr>
                      <w:divsChild>
                        <w:div w:id="172767373">
                          <w:marLeft w:val="0"/>
                          <w:marRight w:val="0"/>
                          <w:marTop w:val="0"/>
                          <w:marBottom w:val="0"/>
                          <w:divBdr>
                            <w:top w:val="none" w:sz="0" w:space="0" w:color="auto"/>
                            <w:left w:val="none" w:sz="0" w:space="0" w:color="auto"/>
                            <w:bottom w:val="none" w:sz="0" w:space="0" w:color="auto"/>
                            <w:right w:val="none" w:sz="0" w:space="0" w:color="auto"/>
                          </w:divBdr>
                          <w:divsChild>
                            <w:div w:id="5096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066913">
      <w:bodyDiv w:val="1"/>
      <w:marLeft w:val="0"/>
      <w:marRight w:val="0"/>
      <w:marTop w:val="0"/>
      <w:marBottom w:val="0"/>
      <w:divBdr>
        <w:top w:val="none" w:sz="0" w:space="0" w:color="auto"/>
        <w:left w:val="none" w:sz="0" w:space="0" w:color="auto"/>
        <w:bottom w:val="none" w:sz="0" w:space="0" w:color="auto"/>
        <w:right w:val="none" w:sz="0" w:space="0" w:color="auto"/>
      </w:divBdr>
      <w:divsChild>
        <w:div w:id="1509098245">
          <w:marLeft w:val="0"/>
          <w:marRight w:val="0"/>
          <w:marTop w:val="0"/>
          <w:marBottom w:val="0"/>
          <w:divBdr>
            <w:top w:val="none" w:sz="0" w:space="0" w:color="auto"/>
            <w:left w:val="none" w:sz="0" w:space="0" w:color="auto"/>
            <w:bottom w:val="none" w:sz="0" w:space="0" w:color="auto"/>
            <w:right w:val="none" w:sz="0" w:space="0" w:color="auto"/>
          </w:divBdr>
          <w:divsChild>
            <w:div w:id="54672097">
              <w:marLeft w:val="0"/>
              <w:marRight w:val="0"/>
              <w:marTop w:val="0"/>
              <w:marBottom w:val="0"/>
              <w:divBdr>
                <w:top w:val="none" w:sz="0" w:space="0" w:color="auto"/>
                <w:left w:val="none" w:sz="0" w:space="0" w:color="auto"/>
                <w:bottom w:val="none" w:sz="0" w:space="0" w:color="auto"/>
                <w:right w:val="none" w:sz="0" w:space="0" w:color="auto"/>
              </w:divBdr>
              <w:divsChild>
                <w:div w:id="681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4466">
      <w:bodyDiv w:val="1"/>
      <w:marLeft w:val="195"/>
      <w:marRight w:val="195"/>
      <w:marTop w:val="165"/>
      <w:marBottom w:val="195"/>
      <w:divBdr>
        <w:top w:val="none" w:sz="0" w:space="0" w:color="auto"/>
        <w:left w:val="none" w:sz="0" w:space="0" w:color="auto"/>
        <w:bottom w:val="none" w:sz="0" w:space="0" w:color="auto"/>
        <w:right w:val="none" w:sz="0" w:space="0" w:color="auto"/>
      </w:divBdr>
      <w:divsChild>
        <w:div w:id="1945644857">
          <w:marLeft w:val="0"/>
          <w:marRight w:val="0"/>
          <w:marTop w:val="0"/>
          <w:marBottom w:val="0"/>
          <w:divBdr>
            <w:top w:val="none" w:sz="0" w:space="0" w:color="auto"/>
            <w:left w:val="none" w:sz="0" w:space="0" w:color="auto"/>
            <w:bottom w:val="none" w:sz="0" w:space="0" w:color="auto"/>
            <w:right w:val="none" w:sz="0" w:space="0" w:color="auto"/>
          </w:divBdr>
        </w:div>
        <w:div w:id="1772896577">
          <w:marLeft w:val="0"/>
          <w:marRight w:val="0"/>
          <w:marTop w:val="0"/>
          <w:marBottom w:val="0"/>
          <w:divBdr>
            <w:top w:val="none" w:sz="0" w:space="0" w:color="auto"/>
            <w:left w:val="none" w:sz="0" w:space="0" w:color="auto"/>
            <w:bottom w:val="none" w:sz="0" w:space="0" w:color="auto"/>
            <w:right w:val="none" w:sz="0" w:space="0" w:color="auto"/>
          </w:divBdr>
          <w:divsChild>
            <w:div w:id="97433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156516">
                  <w:marLeft w:val="0"/>
                  <w:marRight w:val="0"/>
                  <w:marTop w:val="0"/>
                  <w:marBottom w:val="0"/>
                  <w:divBdr>
                    <w:top w:val="none" w:sz="0" w:space="0" w:color="auto"/>
                    <w:left w:val="none" w:sz="0" w:space="0" w:color="auto"/>
                    <w:bottom w:val="none" w:sz="0" w:space="0" w:color="auto"/>
                    <w:right w:val="none" w:sz="0" w:space="0" w:color="auto"/>
                  </w:divBdr>
                  <w:divsChild>
                    <w:div w:id="488641951">
                      <w:marLeft w:val="0"/>
                      <w:marRight w:val="0"/>
                      <w:marTop w:val="0"/>
                      <w:marBottom w:val="0"/>
                      <w:divBdr>
                        <w:top w:val="none" w:sz="0" w:space="0" w:color="auto"/>
                        <w:left w:val="none" w:sz="0" w:space="0" w:color="auto"/>
                        <w:bottom w:val="none" w:sz="0" w:space="0" w:color="auto"/>
                        <w:right w:val="none" w:sz="0" w:space="0" w:color="auto"/>
                      </w:divBdr>
                      <w:divsChild>
                        <w:div w:id="640227866">
                          <w:marLeft w:val="0"/>
                          <w:marRight w:val="0"/>
                          <w:marTop w:val="0"/>
                          <w:marBottom w:val="0"/>
                          <w:divBdr>
                            <w:top w:val="none" w:sz="0" w:space="0" w:color="auto"/>
                            <w:left w:val="none" w:sz="0" w:space="0" w:color="auto"/>
                            <w:bottom w:val="none" w:sz="0" w:space="0" w:color="auto"/>
                            <w:right w:val="none" w:sz="0" w:space="0" w:color="auto"/>
                          </w:divBdr>
                          <w:divsChild>
                            <w:div w:id="627130940">
                              <w:marLeft w:val="0"/>
                              <w:marRight w:val="0"/>
                              <w:marTop w:val="0"/>
                              <w:marBottom w:val="0"/>
                              <w:divBdr>
                                <w:top w:val="single" w:sz="8" w:space="3" w:color="auto"/>
                                <w:left w:val="none" w:sz="0" w:space="0" w:color="auto"/>
                                <w:bottom w:val="none" w:sz="0" w:space="0" w:color="auto"/>
                                <w:right w:val="none" w:sz="0" w:space="0" w:color="auto"/>
                              </w:divBdr>
                            </w:div>
                          </w:divsChild>
                        </w:div>
                        <w:div w:id="1756824700">
                          <w:marLeft w:val="0"/>
                          <w:marRight w:val="0"/>
                          <w:marTop w:val="0"/>
                          <w:marBottom w:val="0"/>
                          <w:divBdr>
                            <w:top w:val="none" w:sz="0" w:space="0" w:color="auto"/>
                            <w:left w:val="none" w:sz="0" w:space="0" w:color="auto"/>
                            <w:bottom w:val="none" w:sz="0" w:space="0" w:color="auto"/>
                            <w:right w:val="none" w:sz="0" w:space="0" w:color="auto"/>
                          </w:divBdr>
                        </w:div>
                        <w:div w:id="523711392">
                          <w:marLeft w:val="0"/>
                          <w:marRight w:val="0"/>
                          <w:marTop w:val="0"/>
                          <w:marBottom w:val="0"/>
                          <w:divBdr>
                            <w:top w:val="none" w:sz="0" w:space="0" w:color="auto"/>
                            <w:left w:val="none" w:sz="0" w:space="0" w:color="auto"/>
                            <w:bottom w:val="none" w:sz="0" w:space="0" w:color="auto"/>
                            <w:right w:val="none" w:sz="0" w:space="0" w:color="auto"/>
                          </w:divBdr>
                        </w:div>
                        <w:div w:id="180242856">
                          <w:marLeft w:val="0"/>
                          <w:marRight w:val="0"/>
                          <w:marTop w:val="0"/>
                          <w:marBottom w:val="0"/>
                          <w:divBdr>
                            <w:top w:val="none" w:sz="0" w:space="0" w:color="auto"/>
                            <w:left w:val="none" w:sz="0" w:space="0" w:color="auto"/>
                            <w:bottom w:val="none" w:sz="0" w:space="0" w:color="auto"/>
                            <w:right w:val="none" w:sz="0" w:space="0" w:color="auto"/>
                          </w:divBdr>
                        </w:div>
                        <w:div w:id="1356881677">
                          <w:marLeft w:val="0"/>
                          <w:marRight w:val="0"/>
                          <w:marTop w:val="0"/>
                          <w:marBottom w:val="0"/>
                          <w:divBdr>
                            <w:top w:val="none" w:sz="0" w:space="0" w:color="auto"/>
                            <w:left w:val="none" w:sz="0" w:space="0" w:color="auto"/>
                            <w:bottom w:val="none" w:sz="0" w:space="0" w:color="auto"/>
                            <w:right w:val="none" w:sz="0" w:space="0" w:color="auto"/>
                          </w:divBdr>
                        </w:div>
                        <w:div w:id="354504056">
                          <w:marLeft w:val="0"/>
                          <w:marRight w:val="0"/>
                          <w:marTop w:val="0"/>
                          <w:marBottom w:val="0"/>
                          <w:divBdr>
                            <w:top w:val="none" w:sz="0" w:space="0" w:color="auto"/>
                            <w:left w:val="none" w:sz="0" w:space="0" w:color="auto"/>
                            <w:bottom w:val="none" w:sz="0" w:space="0" w:color="auto"/>
                            <w:right w:val="none" w:sz="0" w:space="0" w:color="auto"/>
                          </w:divBdr>
                        </w:div>
                        <w:div w:id="561063653">
                          <w:marLeft w:val="0"/>
                          <w:marRight w:val="0"/>
                          <w:marTop w:val="0"/>
                          <w:marBottom w:val="0"/>
                          <w:divBdr>
                            <w:top w:val="none" w:sz="0" w:space="0" w:color="auto"/>
                            <w:left w:val="none" w:sz="0" w:space="0" w:color="auto"/>
                            <w:bottom w:val="none" w:sz="0" w:space="0" w:color="auto"/>
                            <w:right w:val="none" w:sz="0" w:space="0" w:color="auto"/>
                          </w:divBdr>
                        </w:div>
                        <w:div w:id="1007902171">
                          <w:marLeft w:val="0"/>
                          <w:marRight w:val="0"/>
                          <w:marTop w:val="0"/>
                          <w:marBottom w:val="0"/>
                          <w:divBdr>
                            <w:top w:val="none" w:sz="0" w:space="0" w:color="auto"/>
                            <w:left w:val="none" w:sz="0" w:space="0" w:color="auto"/>
                            <w:bottom w:val="none" w:sz="0" w:space="0" w:color="auto"/>
                            <w:right w:val="none" w:sz="0" w:space="0" w:color="auto"/>
                          </w:divBdr>
                        </w:div>
                        <w:div w:id="915940528">
                          <w:marLeft w:val="0"/>
                          <w:marRight w:val="0"/>
                          <w:marTop w:val="0"/>
                          <w:marBottom w:val="0"/>
                          <w:divBdr>
                            <w:top w:val="none" w:sz="0" w:space="0" w:color="auto"/>
                            <w:left w:val="none" w:sz="0" w:space="0" w:color="auto"/>
                            <w:bottom w:val="none" w:sz="0" w:space="0" w:color="auto"/>
                            <w:right w:val="none" w:sz="0" w:space="0" w:color="auto"/>
                          </w:divBdr>
                        </w:div>
                        <w:div w:id="266622304">
                          <w:marLeft w:val="0"/>
                          <w:marRight w:val="0"/>
                          <w:marTop w:val="0"/>
                          <w:marBottom w:val="0"/>
                          <w:divBdr>
                            <w:top w:val="none" w:sz="0" w:space="0" w:color="auto"/>
                            <w:left w:val="none" w:sz="0" w:space="0" w:color="auto"/>
                            <w:bottom w:val="none" w:sz="0" w:space="0" w:color="auto"/>
                            <w:right w:val="none" w:sz="0" w:space="0" w:color="auto"/>
                          </w:divBdr>
                        </w:div>
                        <w:div w:id="1834445778">
                          <w:marLeft w:val="0"/>
                          <w:marRight w:val="0"/>
                          <w:marTop w:val="0"/>
                          <w:marBottom w:val="0"/>
                          <w:divBdr>
                            <w:top w:val="none" w:sz="0" w:space="0" w:color="auto"/>
                            <w:left w:val="none" w:sz="0" w:space="0" w:color="auto"/>
                            <w:bottom w:val="none" w:sz="0" w:space="0" w:color="auto"/>
                            <w:right w:val="none" w:sz="0" w:space="0" w:color="auto"/>
                          </w:divBdr>
                        </w:div>
                        <w:div w:id="1991059523">
                          <w:marLeft w:val="0"/>
                          <w:marRight w:val="0"/>
                          <w:marTop w:val="0"/>
                          <w:marBottom w:val="0"/>
                          <w:divBdr>
                            <w:top w:val="none" w:sz="0" w:space="0" w:color="auto"/>
                            <w:left w:val="none" w:sz="0" w:space="0" w:color="auto"/>
                            <w:bottom w:val="none" w:sz="0" w:space="0" w:color="auto"/>
                            <w:right w:val="none" w:sz="0" w:space="0" w:color="auto"/>
                          </w:divBdr>
                        </w:div>
                        <w:div w:id="776094714">
                          <w:marLeft w:val="0"/>
                          <w:marRight w:val="0"/>
                          <w:marTop w:val="0"/>
                          <w:marBottom w:val="0"/>
                          <w:divBdr>
                            <w:top w:val="none" w:sz="0" w:space="0" w:color="auto"/>
                            <w:left w:val="none" w:sz="0" w:space="0" w:color="auto"/>
                            <w:bottom w:val="none" w:sz="0" w:space="0" w:color="auto"/>
                            <w:right w:val="none" w:sz="0" w:space="0" w:color="auto"/>
                          </w:divBdr>
                        </w:div>
                        <w:div w:id="1771850185">
                          <w:marLeft w:val="0"/>
                          <w:marRight w:val="0"/>
                          <w:marTop w:val="0"/>
                          <w:marBottom w:val="0"/>
                          <w:divBdr>
                            <w:top w:val="none" w:sz="0" w:space="0" w:color="auto"/>
                            <w:left w:val="none" w:sz="0" w:space="0" w:color="auto"/>
                            <w:bottom w:val="none" w:sz="0" w:space="0" w:color="auto"/>
                            <w:right w:val="none" w:sz="0" w:space="0" w:color="auto"/>
                          </w:divBdr>
                        </w:div>
                        <w:div w:id="1413510278">
                          <w:marLeft w:val="0"/>
                          <w:marRight w:val="0"/>
                          <w:marTop w:val="0"/>
                          <w:marBottom w:val="0"/>
                          <w:divBdr>
                            <w:top w:val="none" w:sz="0" w:space="0" w:color="auto"/>
                            <w:left w:val="none" w:sz="0" w:space="0" w:color="auto"/>
                            <w:bottom w:val="none" w:sz="0" w:space="0" w:color="auto"/>
                            <w:right w:val="none" w:sz="0" w:space="0" w:color="auto"/>
                          </w:divBdr>
                        </w:div>
                        <w:div w:id="1544248422">
                          <w:marLeft w:val="0"/>
                          <w:marRight w:val="0"/>
                          <w:marTop w:val="0"/>
                          <w:marBottom w:val="0"/>
                          <w:divBdr>
                            <w:top w:val="none" w:sz="0" w:space="0" w:color="auto"/>
                            <w:left w:val="none" w:sz="0" w:space="0" w:color="auto"/>
                            <w:bottom w:val="none" w:sz="0" w:space="0" w:color="auto"/>
                            <w:right w:val="none" w:sz="0" w:space="0" w:color="auto"/>
                          </w:divBdr>
                        </w:div>
                        <w:div w:id="1385563486">
                          <w:marLeft w:val="0"/>
                          <w:marRight w:val="0"/>
                          <w:marTop w:val="0"/>
                          <w:marBottom w:val="0"/>
                          <w:divBdr>
                            <w:top w:val="none" w:sz="0" w:space="0" w:color="auto"/>
                            <w:left w:val="none" w:sz="0" w:space="0" w:color="auto"/>
                            <w:bottom w:val="none" w:sz="0" w:space="0" w:color="auto"/>
                            <w:right w:val="none" w:sz="0" w:space="0" w:color="auto"/>
                          </w:divBdr>
                        </w:div>
                        <w:div w:id="1881282480">
                          <w:marLeft w:val="0"/>
                          <w:marRight w:val="0"/>
                          <w:marTop w:val="0"/>
                          <w:marBottom w:val="0"/>
                          <w:divBdr>
                            <w:top w:val="none" w:sz="0" w:space="0" w:color="auto"/>
                            <w:left w:val="none" w:sz="0" w:space="0" w:color="auto"/>
                            <w:bottom w:val="none" w:sz="0" w:space="0" w:color="auto"/>
                            <w:right w:val="none" w:sz="0" w:space="0" w:color="auto"/>
                          </w:divBdr>
                        </w:div>
                        <w:div w:id="1033264086">
                          <w:marLeft w:val="0"/>
                          <w:marRight w:val="0"/>
                          <w:marTop w:val="0"/>
                          <w:marBottom w:val="0"/>
                          <w:divBdr>
                            <w:top w:val="none" w:sz="0" w:space="0" w:color="auto"/>
                            <w:left w:val="none" w:sz="0" w:space="0" w:color="auto"/>
                            <w:bottom w:val="none" w:sz="0" w:space="0" w:color="auto"/>
                            <w:right w:val="none" w:sz="0" w:space="0" w:color="auto"/>
                          </w:divBdr>
                        </w:div>
                        <w:div w:id="1381320630">
                          <w:marLeft w:val="0"/>
                          <w:marRight w:val="0"/>
                          <w:marTop w:val="0"/>
                          <w:marBottom w:val="0"/>
                          <w:divBdr>
                            <w:top w:val="none" w:sz="0" w:space="0" w:color="auto"/>
                            <w:left w:val="none" w:sz="0" w:space="0" w:color="auto"/>
                            <w:bottom w:val="none" w:sz="0" w:space="0" w:color="auto"/>
                            <w:right w:val="none" w:sz="0" w:space="0" w:color="auto"/>
                          </w:divBdr>
                        </w:div>
                        <w:div w:id="528685994">
                          <w:marLeft w:val="0"/>
                          <w:marRight w:val="0"/>
                          <w:marTop w:val="0"/>
                          <w:marBottom w:val="0"/>
                          <w:divBdr>
                            <w:top w:val="none" w:sz="0" w:space="0" w:color="auto"/>
                            <w:left w:val="none" w:sz="0" w:space="0" w:color="auto"/>
                            <w:bottom w:val="none" w:sz="0" w:space="0" w:color="auto"/>
                            <w:right w:val="none" w:sz="0" w:space="0" w:color="auto"/>
                          </w:divBdr>
                        </w:div>
                        <w:div w:id="1723942810">
                          <w:marLeft w:val="0"/>
                          <w:marRight w:val="0"/>
                          <w:marTop w:val="0"/>
                          <w:marBottom w:val="0"/>
                          <w:divBdr>
                            <w:top w:val="none" w:sz="0" w:space="0" w:color="auto"/>
                            <w:left w:val="none" w:sz="0" w:space="0" w:color="auto"/>
                            <w:bottom w:val="none" w:sz="0" w:space="0" w:color="auto"/>
                            <w:right w:val="none" w:sz="0" w:space="0" w:color="auto"/>
                          </w:divBdr>
                        </w:div>
                        <w:div w:id="23597513">
                          <w:marLeft w:val="0"/>
                          <w:marRight w:val="0"/>
                          <w:marTop w:val="0"/>
                          <w:marBottom w:val="0"/>
                          <w:divBdr>
                            <w:top w:val="none" w:sz="0" w:space="0" w:color="auto"/>
                            <w:left w:val="none" w:sz="0" w:space="0" w:color="auto"/>
                            <w:bottom w:val="none" w:sz="0" w:space="0" w:color="auto"/>
                            <w:right w:val="none" w:sz="0" w:space="0" w:color="auto"/>
                          </w:divBdr>
                        </w:div>
                        <w:div w:id="1228491843">
                          <w:marLeft w:val="0"/>
                          <w:marRight w:val="0"/>
                          <w:marTop w:val="0"/>
                          <w:marBottom w:val="0"/>
                          <w:divBdr>
                            <w:top w:val="none" w:sz="0" w:space="0" w:color="auto"/>
                            <w:left w:val="none" w:sz="0" w:space="0" w:color="auto"/>
                            <w:bottom w:val="none" w:sz="0" w:space="0" w:color="auto"/>
                            <w:right w:val="none" w:sz="0" w:space="0" w:color="auto"/>
                          </w:divBdr>
                        </w:div>
                        <w:div w:id="1245455045">
                          <w:marLeft w:val="0"/>
                          <w:marRight w:val="0"/>
                          <w:marTop w:val="0"/>
                          <w:marBottom w:val="0"/>
                          <w:divBdr>
                            <w:top w:val="none" w:sz="0" w:space="0" w:color="auto"/>
                            <w:left w:val="none" w:sz="0" w:space="0" w:color="auto"/>
                            <w:bottom w:val="none" w:sz="0" w:space="0" w:color="auto"/>
                            <w:right w:val="none" w:sz="0" w:space="0" w:color="auto"/>
                          </w:divBdr>
                        </w:div>
                        <w:div w:id="148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538695">
      <w:bodyDiv w:val="1"/>
      <w:marLeft w:val="0"/>
      <w:marRight w:val="0"/>
      <w:marTop w:val="0"/>
      <w:marBottom w:val="0"/>
      <w:divBdr>
        <w:top w:val="none" w:sz="0" w:space="0" w:color="auto"/>
        <w:left w:val="none" w:sz="0" w:space="0" w:color="auto"/>
        <w:bottom w:val="none" w:sz="0" w:space="0" w:color="auto"/>
        <w:right w:val="none" w:sz="0" w:space="0" w:color="auto"/>
      </w:divBdr>
      <w:divsChild>
        <w:div w:id="1297298708">
          <w:marLeft w:val="0"/>
          <w:marRight w:val="0"/>
          <w:marTop w:val="0"/>
          <w:marBottom w:val="0"/>
          <w:divBdr>
            <w:top w:val="none" w:sz="0" w:space="0" w:color="auto"/>
            <w:left w:val="none" w:sz="0" w:space="0" w:color="auto"/>
            <w:bottom w:val="none" w:sz="0" w:space="0" w:color="auto"/>
            <w:right w:val="none" w:sz="0" w:space="0" w:color="auto"/>
          </w:divBdr>
          <w:divsChild>
            <w:div w:id="1792941463">
              <w:marLeft w:val="0"/>
              <w:marRight w:val="0"/>
              <w:marTop w:val="0"/>
              <w:marBottom w:val="0"/>
              <w:divBdr>
                <w:top w:val="none" w:sz="0" w:space="0" w:color="auto"/>
                <w:left w:val="none" w:sz="0" w:space="0" w:color="auto"/>
                <w:bottom w:val="none" w:sz="0" w:space="0" w:color="auto"/>
                <w:right w:val="none" w:sz="0" w:space="0" w:color="auto"/>
              </w:divBdr>
              <w:divsChild>
                <w:div w:id="1625693305">
                  <w:marLeft w:val="0"/>
                  <w:marRight w:val="0"/>
                  <w:marTop w:val="0"/>
                  <w:marBottom w:val="0"/>
                  <w:divBdr>
                    <w:top w:val="none" w:sz="0" w:space="0" w:color="auto"/>
                    <w:left w:val="none" w:sz="0" w:space="0" w:color="auto"/>
                    <w:bottom w:val="none" w:sz="0" w:space="0" w:color="auto"/>
                    <w:right w:val="none" w:sz="0" w:space="0" w:color="auto"/>
                  </w:divBdr>
                  <w:divsChild>
                    <w:div w:id="378944385">
                      <w:marLeft w:val="0"/>
                      <w:marRight w:val="0"/>
                      <w:marTop w:val="0"/>
                      <w:marBottom w:val="0"/>
                      <w:divBdr>
                        <w:top w:val="none" w:sz="0" w:space="0" w:color="auto"/>
                        <w:left w:val="none" w:sz="0" w:space="0" w:color="auto"/>
                        <w:bottom w:val="none" w:sz="0" w:space="0" w:color="auto"/>
                        <w:right w:val="none" w:sz="0" w:space="0" w:color="auto"/>
                      </w:divBdr>
                      <w:divsChild>
                        <w:div w:id="328219259">
                          <w:marLeft w:val="0"/>
                          <w:marRight w:val="0"/>
                          <w:marTop w:val="0"/>
                          <w:marBottom w:val="0"/>
                          <w:divBdr>
                            <w:top w:val="none" w:sz="0" w:space="0" w:color="auto"/>
                            <w:left w:val="none" w:sz="0" w:space="0" w:color="auto"/>
                            <w:bottom w:val="none" w:sz="0" w:space="0" w:color="auto"/>
                            <w:right w:val="none" w:sz="0" w:space="0" w:color="auto"/>
                          </w:divBdr>
                          <w:divsChild>
                            <w:div w:id="544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36A8-D53D-4361-8631-097BDFA0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7257</Words>
  <Characters>41366</Characters>
  <Application>Microsoft Office Word</Application>
  <DocSecurity>0</DocSecurity>
  <Lines>344</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ECHR</vt:lpstr>
      <vt:lpstr>ECHR</vt:lpstr>
    </vt:vector>
  </TitlesOfParts>
  <LinksUpToDate>false</LinksUpToDate>
  <CharactersWithSpaces>48526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1</cp:revision>
  <cp:lastPrinted>2013-05-07T13:34:00Z</cp:lastPrinted>
  <dcterms:created xsi:type="dcterms:W3CDTF">2017-01-18T15:34:00Z</dcterms:created>
  <dcterms:modified xsi:type="dcterms:W3CDTF">2017-01-18T15:34:00Z</dcterms:modified>
</cp:coreProperties>
</file>